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288"/>
        <w:jc w:val="center"/>
        <w:rPr/>
      </w:pPr>
      <w:r>
        <w:rPr>
          <w:rFonts w:cs="Arial" w:ascii="Arial" w:hAnsi="Arial"/>
          <w:b/>
          <w:bCs/>
          <w:color w:val="000000" w:themeColor="text1"/>
          <w:sz w:val="20"/>
          <w:szCs w:val="20"/>
        </w:rPr>
        <w:t>MODELO DE TERMO DE CONTRATO</w:t>
        <w:br/>
        <w:t>Lei nº 14.133, de 1º de abril de 2021</w:t>
        <w:br/>
        <w:t>AQUISIÇÕES – LICITAÇÃO</w:t>
      </w:r>
    </w:p>
    <w:p>
      <w:pPr>
        <w:pStyle w:val="Normal"/>
        <w:spacing w:lineRule="auto" w:line="240" w:before="120" w:after="288"/>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240" w:before="120" w:after="28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240" w:before="120" w:after="288"/>
        <w:ind w:left="708" w:firstLine="70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240" w:before="57" w:after="57"/>
        <w:jc w:val="center"/>
        <w:rPr/>
      </w:pPr>
      <w:r>
        <w:rPr>
          <w:rFonts w:cs="Arial" w:ascii="Calibri Light" w:hAnsi="Calibri Light"/>
          <w:b/>
          <w:bCs/>
          <w:i w:val="false"/>
          <w:iCs w:val="false"/>
          <w:color w:val="000000"/>
          <w:sz w:val="24"/>
          <w:szCs w:val="24"/>
        </w:rPr>
        <w:t>M</w:t>
      </w:r>
      <w:r>
        <w:rPr>
          <w:rFonts w:cs="Ecofont_Spranq_eco_Sans" w:ascii="Calibri Light" w:hAnsi="Calibri Light"/>
          <w:b/>
          <w:bCs/>
          <w:i w:val="false"/>
          <w:iCs w:val="false"/>
          <w:color w:val="00000A"/>
          <w:sz w:val="24"/>
          <w:szCs w:val="24"/>
          <w:shd w:fill="FFFFFF" w:val="clear"/>
        </w:rPr>
        <w:t>INISTÉRIO DA DEFESA</w:t>
      </w:r>
    </w:p>
    <w:p>
      <w:pPr>
        <w:pStyle w:val="Normal"/>
        <w:shd w:val="clear" w:color="000000" w:themeTint="0" w:themeShade="0" w:fill="FFFFFF" w:themeFillTint="0" w:themeFillShade="0"/>
        <w:overflowPunct w:val="true"/>
        <w:spacing w:lineRule="auto" w:line="240" w:before="57" w:after="57"/>
        <w:jc w:val="center"/>
        <w:rPr/>
      </w:pPr>
      <w:r>
        <w:rPr>
          <w:rFonts w:cs="Ecofont_Spranq_eco_Sans" w:ascii="Calibri Light" w:hAnsi="Calibri Light"/>
          <w:b/>
          <w:bCs/>
          <w:i w:val="false"/>
          <w:iCs w:val="false"/>
          <w:color w:val="00000A"/>
          <w:sz w:val="24"/>
          <w:szCs w:val="24"/>
          <w:shd w:fill="FFFFFF" w:val="clear"/>
        </w:rPr>
        <w:t>EXÉRCITO BRASILEIRO</w:t>
      </w:r>
    </w:p>
    <w:p>
      <w:pPr>
        <w:pStyle w:val="Normal"/>
        <w:shd w:val="clear" w:color="000000" w:themeTint="0" w:themeShade="0" w:fill="FFFFFF" w:themeFillTint="0" w:themeFillShade="0"/>
        <w:overflowPunct w:val="true"/>
        <w:spacing w:lineRule="auto" w:line="240" w:before="57" w:after="57"/>
        <w:jc w:val="center"/>
        <w:rPr/>
      </w:pPr>
      <w:r>
        <w:rPr>
          <w:rFonts w:cs="Ecofont_Spranq_eco_Sans" w:ascii="Calibri Light" w:hAnsi="Calibri Light"/>
          <w:b/>
          <w:i w:val="false"/>
          <w:iCs w:val="false"/>
          <w:color w:val="00000A"/>
          <w:sz w:val="24"/>
          <w:szCs w:val="24"/>
          <w:shd w:fill="FFFFFF" w:val="clear"/>
        </w:rPr>
        <w:t>PARQUE REGIONAL DE MANUTENÇÃO/6</w:t>
      </w:r>
    </w:p>
    <w:p>
      <w:pPr>
        <w:pStyle w:val="Normal"/>
        <w:spacing w:lineRule="auto" w:line="240" w:before="57" w:after="57"/>
        <w:ind w:right="-17" w:hanging="0"/>
        <w:jc w:val="center"/>
        <w:rPr/>
      </w:pPr>
      <w:r>
        <w:rPr>
          <w:rFonts w:cs="Times New Roman" w:ascii="Calibri Light" w:hAnsi="Calibri Light"/>
          <w:b/>
          <w:bCs/>
          <w:i w:val="false"/>
          <w:iCs w:val="false"/>
          <w:color w:val="00000A"/>
          <w:sz w:val="24"/>
          <w:szCs w:val="24"/>
          <w:u w:val="single"/>
          <w:shd w:fill="FFFFFF" w:val="clear"/>
          <w:lang w:eastAsia="ar-SA" w:bidi="zxx"/>
        </w:rPr>
        <w:t>(PQ R MB 6ª  RM /1947)</w:t>
      </w:r>
    </w:p>
    <w:p>
      <w:pPr>
        <w:pStyle w:val="Normal"/>
        <w:spacing w:lineRule="auto" w:line="240" w:before="57" w:after="57"/>
        <w:ind w:right="-17" w:hanging="0"/>
        <w:jc w:val="center"/>
        <w:rPr>
          <w:rFonts w:ascii="Calibri Light" w:hAnsi="Calibri Light" w:cs="Times New Roman"/>
          <w:b/>
          <w:b/>
          <w:bCs/>
          <w:i w:val="false"/>
          <w:i w:val="false"/>
          <w:iCs w:val="false"/>
          <w:color w:val="00000A"/>
          <w:sz w:val="24"/>
          <w:szCs w:val="24"/>
          <w:highlight w:val="white"/>
          <w:u w:val="single"/>
          <w:lang w:eastAsia="ar-SA" w:bidi="zxx"/>
        </w:rPr>
      </w:pPr>
      <w:r>
        <w:rPr>
          <w:rFonts w:cs="Times New Roman" w:ascii="Calibri Light" w:hAnsi="Calibri Light"/>
          <w:b/>
          <w:bCs/>
          <w:i w:val="false"/>
          <w:iCs w:val="false"/>
          <w:color w:val="00000A"/>
          <w:sz w:val="24"/>
          <w:szCs w:val="24"/>
          <w:highlight w:val="white"/>
          <w:u w:val="single"/>
          <w:lang w:eastAsia="ar-SA" w:bidi="zxx"/>
        </w:rPr>
      </w:r>
    </w:p>
    <w:p>
      <w:pPr>
        <w:pStyle w:val="Normal"/>
        <w:spacing w:lineRule="auto" w:line="240" w:before="57" w:after="57"/>
        <w:ind w:right="-17" w:hanging="0"/>
        <w:jc w:val="center"/>
        <w:rPr/>
      </w:pPr>
      <w:r>
        <w:rPr>
          <w:rFonts w:eastAsia="Times New Roman" w:cs="Arial" w:ascii="Calibri Light" w:hAnsi="Calibri Light"/>
          <w:b/>
          <w:i w:val="false"/>
          <w:iCs w:val="false"/>
          <w:color w:val="000000"/>
          <w:sz w:val="24"/>
          <w:szCs w:val="24"/>
        </w:rPr>
        <w:t>ANEXO III</w:t>
      </w:r>
    </w:p>
    <w:p>
      <w:pPr>
        <w:pStyle w:val="Normal"/>
        <w:spacing w:lineRule="auto" w:line="240" w:before="120" w:after="288"/>
        <w:jc w:val="center"/>
        <w:rPr/>
      </w:pPr>
      <w:r>
        <w:rPr>
          <w:rFonts w:cs="Arial" w:ascii="Arial" w:hAnsi="Arial"/>
          <w:color w:val="000000"/>
          <w:sz w:val="20"/>
          <w:szCs w:val="20"/>
        </w:rPr>
        <w:t>(Processo Administrativo n</w:t>
      </w:r>
      <w:r>
        <w:rPr>
          <w:rFonts w:cs="Arial" w:ascii="Arial" w:hAnsi="Arial"/>
          <w:bCs/>
          <w:color w:val="000000"/>
          <w:sz w:val="20"/>
          <w:szCs w:val="20"/>
        </w:rPr>
        <w:t xml:space="preserve">° </w:t>
      </w:r>
      <w:r>
        <w:rPr>
          <w:rStyle w:val="Fontepargpadro"/>
          <w:rFonts w:eastAsia="ＭＳ 明朝" w:cs="Arial" w:ascii="Arial" w:hAnsi="Arial"/>
          <w:b/>
          <w:bCs/>
          <w:i w:val="false"/>
          <w:iCs w:val="false"/>
          <w:color w:val="000000"/>
          <w:kern w:val="0"/>
          <w:sz w:val="20"/>
          <w:szCs w:val="20"/>
          <w:shd w:fill="FFFFFF" w:val="clear"/>
          <w:lang w:val="pt-BR" w:eastAsia="pt-BR" w:bidi="ar-SA"/>
        </w:rPr>
        <w:t>64620.001</w:t>
      </w:r>
      <w:r>
        <w:rPr>
          <w:rStyle w:val="Fontepargpadro"/>
          <w:rFonts w:eastAsia="ＭＳ 明朝" w:cs="Arial" w:ascii="Arial" w:hAnsi="Arial"/>
          <w:b/>
          <w:bCs/>
          <w:i w:val="false"/>
          <w:iCs w:val="false"/>
          <w:color w:val="000000"/>
          <w:kern w:val="0"/>
          <w:sz w:val="20"/>
          <w:szCs w:val="20"/>
          <w:shd w:fill="FFFFFF" w:val="clear"/>
          <w:lang w:val="pt-BR" w:eastAsia="pt-BR" w:bidi="ar-SA"/>
        </w:rPr>
        <w:t>227</w:t>
      </w:r>
      <w:r>
        <w:rPr>
          <w:rStyle w:val="Fontepargpadro"/>
          <w:rFonts w:eastAsia="ＭＳ 明朝" w:cs="Arial" w:ascii="Arial" w:hAnsi="Arial"/>
          <w:b/>
          <w:bCs/>
          <w:i w:val="false"/>
          <w:iCs w:val="false"/>
          <w:color w:val="000000"/>
          <w:kern w:val="0"/>
          <w:sz w:val="20"/>
          <w:szCs w:val="20"/>
          <w:shd w:fill="FFFFFF" w:val="clear"/>
          <w:lang w:val="pt-BR" w:eastAsia="pt-BR" w:bidi="ar-SA"/>
        </w:rPr>
        <w:t>/2024-3</w:t>
      </w:r>
      <w:r>
        <w:rPr>
          <w:rStyle w:val="Fontepargpadro"/>
          <w:rFonts w:eastAsia="ＭＳ 明朝" w:cs="Arial" w:ascii="Arial" w:hAnsi="Arial"/>
          <w:b/>
          <w:bCs/>
          <w:i w:val="false"/>
          <w:iCs w:val="false"/>
          <w:color w:val="000000"/>
          <w:kern w:val="0"/>
          <w:sz w:val="20"/>
          <w:szCs w:val="20"/>
          <w:shd w:fill="FFFFFF" w:val="clear"/>
          <w:lang w:val="pt-BR" w:eastAsia="pt-BR" w:bidi="ar-SA"/>
        </w:rPr>
        <w:t>3</w:t>
      </w:r>
      <w:r>
        <w:rPr>
          <w:rFonts w:cs="Arial" w:ascii="Arial" w:hAnsi="Arial"/>
          <w:bCs/>
          <w:color w:val="000000"/>
          <w:sz w:val="20"/>
          <w:szCs w:val="20"/>
        </w:rPr>
        <w:t>)</w:t>
      </w:r>
    </w:p>
    <w:p>
      <w:pPr>
        <w:pStyle w:val="Prembulo"/>
        <w:spacing w:lineRule="auto" w:line="240" w:before="120" w:after="288"/>
        <w:rPr/>
      </w:pPr>
      <w:r>
        <w:rPr>
          <w:bCs w:val="false"/>
        </w:rPr>
        <w:t>CONTRATO ADMINISTRATIVO Nº ......../...., QUE FAZEM ENTRE SI A UNIÃO, POR INTERMÉDIO DO (A) ......................................................... E .............................................................</w:t>
      </w:r>
    </w:p>
    <w:p>
      <w:pPr>
        <w:pStyle w:val="Normal"/>
        <w:spacing w:lineRule="auto" w:line="240" w:before="120" w:after="120"/>
        <w:ind w:firstLine="1418"/>
        <w:jc w:val="both"/>
        <w:rPr/>
      </w:pPr>
      <w:r>
        <w:rPr>
          <w:rFonts w:eastAsia="Arial" w:cs="Arial" w:ascii="Calibri Light" w:hAnsi="Calibri Light"/>
          <w:i w:val="false"/>
          <w:iCs w:val="false"/>
          <w:color w:val="000000"/>
          <w:sz w:val="24"/>
          <w:szCs w:val="24"/>
        </w:rPr>
        <w:t xml:space="preserve">A União, por intermédio do </w:t>
      </w:r>
      <w:r>
        <w:rPr>
          <w:rFonts w:eastAsia="Arial" w:cs="Arial" w:ascii="Calibri Light" w:hAnsi="Calibri Light"/>
          <w:b/>
          <w:bCs/>
          <w:i w:val="false"/>
          <w:iCs w:val="false"/>
          <w:color w:val="000000"/>
          <w:sz w:val="24"/>
          <w:szCs w:val="24"/>
        </w:rPr>
        <w:t>PARQUE REGIONAL DE MANUTENÇÃO/6</w:t>
      </w:r>
      <w:r>
        <w:rPr>
          <w:rFonts w:eastAsia="Arial" w:cs="Arial" w:ascii="Calibri Light" w:hAnsi="Calibri Light"/>
          <w:i w:val="false"/>
          <w:iCs w:val="false"/>
          <w:color w:val="000000"/>
          <w:sz w:val="24"/>
          <w:szCs w:val="24"/>
        </w:rPr>
        <w:t>, com sede na rua da Boa viagem, 1947, Bairro Boa Viagem, na cidade de Salvador-BA, inscrito no CNPJ sob o nº 10.882.519/0001-02</w:t>
      </w:r>
      <w:r>
        <w:rPr>
          <w:rFonts w:eastAsia="Arial" w:cs="Arial" w:ascii="Arial" w:hAnsi="Arial"/>
          <w:i w:val="false"/>
          <w:iCs w:val="false"/>
          <w:color w:val="000000"/>
          <w:sz w:val="20"/>
          <w:szCs w:val="20"/>
        </w:rPr>
        <w:t xml:space="preserve">, neste ato representado(a) pelo(a) ......................... (cargo e nome), nomeado(a) pela Portaria nº ......, de ..... de ..................... de 20..., publicada no DOU de ..... de ............... de ..........., portador da Matrícula Funcional nº .........., doravante denominado CONTRATANTE, e o(a) .............................., inscrito(a) no CNPJ/MF sob o nº ............................, sediado(a) na ..................................., doravante designado CONTRATADO, neste ato representado(a) por .................................. (nome e função no contratado), conforme atos constitutivos da empresa </w:t>
      </w:r>
      <w:r>
        <w:rPr>
          <w:rFonts w:eastAsia="Arial" w:cs="Arial" w:ascii="Arial" w:hAnsi="Arial"/>
          <w:b/>
          <w:bCs/>
          <w:i w:val="false"/>
          <w:iCs w:val="false"/>
          <w:color w:val="000000"/>
          <w:sz w:val="20"/>
          <w:szCs w:val="20"/>
        </w:rPr>
        <w:t>OU</w:t>
      </w:r>
      <w:r>
        <w:rPr>
          <w:rFonts w:eastAsia="Arial" w:cs="Arial" w:ascii="Arial" w:hAnsi="Arial"/>
          <w:i w:val="false"/>
          <w:iCs w:val="false"/>
          <w:color w:val="000000"/>
          <w:sz w:val="20"/>
          <w:szCs w:val="20"/>
        </w:rPr>
        <w:t xml:space="preserve"> procuração apresentada nos autos, tendo em vista o que consta no Processo nº </w:t>
      </w:r>
      <w:r>
        <w:rPr>
          <w:rStyle w:val="Fontepargpadro"/>
          <w:rFonts w:eastAsia="ＭＳ 明朝" w:cs="Arial" w:ascii="Arial" w:hAnsi="Arial"/>
          <w:b/>
          <w:bCs/>
          <w:i w:val="false"/>
          <w:iCs w:val="false"/>
          <w:color w:val="000000"/>
          <w:kern w:val="0"/>
          <w:sz w:val="20"/>
          <w:szCs w:val="20"/>
          <w:shd w:fill="FFFFFF" w:val="clear"/>
          <w:lang w:val="pt-BR" w:eastAsia="pt-BR" w:bidi="ar-SA"/>
        </w:rPr>
        <w:t>64620.001</w:t>
      </w:r>
      <w:r>
        <w:rPr>
          <w:rStyle w:val="Fontepargpadro"/>
          <w:rFonts w:eastAsia="ＭＳ 明朝" w:cs="Arial" w:ascii="Arial" w:hAnsi="Arial"/>
          <w:b/>
          <w:bCs/>
          <w:i w:val="false"/>
          <w:iCs w:val="false"/>
          <w:color w:val="000000"/>
          <w:kern w:val="0"/>
          <w:sz w:val="20"/>
          <w:szCs w:val="20"/>
          <w:shd w:fill="FFFFFF" w:val="clear"/>
          <w:lang w:val="pt-BR" w:eastAsia="pt-BR" w:bidi="ar-SA"/>
        </w:rPr>
        <w:t>227</w:t>
      </w:r>
      <w:r>
        <w:rPr>
          <w:rStyle w:val="Fontepargpadro"/>
          <w:rFonts w:eastAsia="ＭＳ 明朝" w:cs="Arial" w:ascii="Arial" w:hAnsi="Arial"/>
          <w:b/>
          <w:bCs/>
          <w:i w:val="false"/>
          <w:iCs w:val="false"/>
          <w:color w:val="000000"/>
          <w:kern w:val="0"/>
          <w:sz w:val="20"/>
          <w:szCs w:val="20"/>
          <w:shd w:fill="FFFFFF" w:val="clear"/>
          <w:lang w:val="pt-BR" w:eastAsia="pt-BR" w:bidi="ar-SA"/>
        </w:rPr>
        <w:t>/2024-3</w:t>
      </w:r>
      <w:r>
        <w:rPr>
          <w:rStyle w:val="Fontepargpadro"/>
          <w:rFonts w:eastAsia="ＭＳ 明朝" w:cs="Arial" w:ascii="Arial" w:hAnsi="Arial"/>
          <w:b/>
          <w:bCs/>
          <w:i w:val="false"/>
          <w:iCs w:val="false"/>
          <w:color w:val="000000"/>
          <w:kern w:val="0"/>
          <w:sz w:val="20"/>
          <w:szCs w:val="20"/>
          <w:shd w:fill="FFFFFF" w:val="clear"/>
          <w:lang w:val="pt-BR" w:eastAsia="pt-BR" w:bidi="ar-SA"/>
        </w:rPr>
        <w:t>3</w:t>
      </w:r>
      <w:r>
        <w:rPr>
          <w:rFonts w:eastAsia="Arial" w:cs="Arial" w:ascii="Arial" w:hAnsi="Arial"/>
          <w:i w:val="false"/>
          <w:iCs w:val="false"/>
          <w:color w:val="000000"/>
          <w:sz w:val="20"/>
          <w:szCs w:val="20"/>
        </w:rPr>
        <w:t xml:space="preserve"> e em observância às disposições da </w:t>
      </w:r>
      <w:hyperlink r:id="rId3">
        <w:r>
          <w:rPr>
            <w:rStyle w:val="LinkdaInternet"/>
            <w:rFonts w:eastAsia="Arial" w:cs="Arial" w:ascii="Arial" w:hAnsi="Arial"/>
            <w:i w:val="false"/>
            <w:iCs w:val="false"/>
            <w:color w:val="000000"/>
            <w:sz w:val="20"/>
            <w:szCs w:val="20"/>
          </w:rPr>
          <w:t>Lei nº 14.133, de 1º de abril de 2021</w:t>
        </w:r>
      </w:hyperlink>
      <w:r>
        <w:rPr>
          <w:rFonts w:eastAsia="Arial" w:cs="Arial" w:ascii="Arial" w:hAnsi="Arial"/>
          <w:i w:val="false"/>
          <w:iCs w:val="false"/>
          <w:color w:val="000000"/>
          <w:sz w:val="20"/>
          <w:szCs w:val="20"/>
        </w:rPr>
        <w:t xml:space="preserve">, e demais legislação aplicável, resolvem celebrar o presente Termo de Contrato, decorrente do </w:t>
      </w:r>
      <w:r>
        <w:rPr>
          <w:rFonts w:eastAsia="Arial" w:cs="Arial" w:ascii="Arial" w:hAnsi="Arial"/>
          <w:b/>
          <w:bCs/>
          <w:i w:val="false"/>
          <w:iCs w:val="false"/>
          <w:color w:val="000000"/>
          <w:sz w:val="20"/>
          <w:szCs w:val="20"/>
        </w:rPr>
        <w:t>Pregão Eletrônico n. 90.00</w:t>
      </w:r>
      <w:r>
        <w:rPr>
          <w:rFonts w:eastAsia="Arial" w:cs="Arial" w:ascii="Arial" w:hAnsi="Arial"/>
          <w:b/>
          <w:bCs/>
          <w:i w:val="false"/>
          <w:iCs w:val="false"/>
          <w:color w:val="000000"/>
          <w:sz w:val="20"/>
          <w:szCs w:val="20"/>
        </w:rPr>
        <w:t>9</w:t>
      </w:r>
      <w:r>
        <w:rPr>
          <w:rFonts w:eastAsia="Arial" w:cs="Arial" w:ascii="Arial" w:hAnsi="Arial"/>
          <w:b/>
          <w:bCs/>
          <w:i w:val="false"/>
          <w:iCs w:val="false"/>
          <w:color w:val="000000"/>
          <w:sz w:val="20"/>
          <w:szCs w:val="20"/>
        </w:rPr>
        <w:t>/2024</w:t>
      </w:r>
      <w:r>
        <w:rPr>
          <w:rFonts w:eastAsia="Arial" w:cs="Arial" w:ascii="Arial" w:hAnsi="Arial"/>
          <w:i w:val="false"/>
          <w:iCs w:val="false"/>
          <w:color w:val="000000"/>
          <w:sz w:val="20"/>
          <w:szCs w:val="20"/>
        </w:rPr>
        <w:t xml:space="preserve"> mediante as cláusulas e condições a seguir enunciadas.</w:t>
      </w:r>
    </w:p>
    <w:p>
      <w:pPr>
        <w:pStyle w:val="Nivel01"/>
        <w:numPr>
          <w:ilvl w:val="0"/>
          <w:numId w:val="118"/>
        </w:numPr>
        <w:spacing w:lineRule="auto" w:line="240"/>
        <w:rPr/>
      </w:pPr>
      <w:r>
        <w:rPr/>
        <w:t>CLÁUSULA PRIMEIRA – OBJETO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19"/>
        </w:numPr>
        <w:spacing w:lineRule="auto" w:line="240"/>
        <w:ind w:left="0" w:hanging="0"/>
        <w:rPr>
          <w:sz w:val="20"/>
          <w:szCs w:val="20"/>
        </w:rPr>
      </w:pPr>
      <w:r>
        <w:rPr>
          <w:sz w:val="20"/>
          <w:szCs w:val="20"/>
        </w:rPr>
        <w:t xml:space="preserve">O objeto do presente instrumento é a </w:t>
      </w:r>
      <w:r>
        <w:rPr>
          <w:rFonts w:eastAsia="Batang" w:cs="Times New Roman" w:ascii="Calibri Light" w:hAnsi="Calibri Light"/>
          <w:b/>
          <w:bCs/>
          <w:i w:val="false"/>
          <w:iCs w:val="false"/>
          <w:strike w:val="false"/>
          <w:dstrike w:val="false"/>
          <w:color w:val="00000A"/>
          <w:sz w:val="20"/>
          <w:szCs w:val="20"/>
          <w:u w:val="none"/>
          <w:shd w:fill="FFFFFF" w:val="clear"/>
        </w:rPr>
        <w:t>Aquisição de Insumos para a Seção de Fosfatização</w:t>
      </w:r>
      <w:r>
        <w:rPr>
          <w:rFonts w:cs="Arial" w:ascii="Calibri Light" w:hAnsi="Calibri Light"/>
          <w:b/>
          <w:bCs/>
          <w:color w:val="000000"/>
          <w:sz w:val="20"/>
          <w:szCs w:val="20"/>
        </w:rPr>
        <w:t xml:space="preserve"> do Parque Regional de Manutenção 6.</w:t>
      </w:r>
      <w:r>
        <w:rPr>
          <w:sz w:val="20"/>
          <w:szCs w:val="20"/>
        </w:rPr>
        <w:t>, nas condições estabelecidas no Termo de Referência.</w:t>
      </w:r>
    </w:p>
    <w:p>
      <w:pPr>
        <w:pStyle w:val="Nivel2"/>
        <w:numPr>
          <w:ilvl w:val="1"/>
          <w:numId w:val="120"/>
        </w:numPr>
        <w:spacing w:lineRule="auto" w:line="240"/>
        <w:ind w:left="0" w:hanging="0"/>
        <w:rPr>
          <w:sz w:val="20"/>
          <w:szCs w:val="20"/>
        </w:rPr>
      </w:pPr>
      <w:r>
        <w:rPr>
          <w:sz w:val="20"/>
          <w:szCs w:val="20"/>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2"/>
        <w:gridCol w:w="2558"/>
        <w:gridCol w:w="1278"/>
        <w:gridCol w:w="1134"/>
        <w:gridCol w:w="1557"/>
        <w:gridCol w:w="1284"/>
        <w:gridCol w:w="984"/>
      </w:tblGrid>
      <w:tr>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jc w:val="center"/>
              <w:rPr/>
            </w:pPr>
            <w:r>
              <w:rPr>
                <w:rFonts w:eastAsia="Arial" w:cs="Arial" w:ascii="Arial" w:hAnsi="Arial"/>
                <w:b/>
                <w:bCs/>
                <w:color w:val="000000" w:themeColor="text1"/>
                <w:sz w:val="20"/>
                <w:szCs w:val="20"/>
              </w:rPr>
              <w:t>ITEM</w:t>
            </w:r>
          </w:p>
          <w:p>
            <w:pPr>
              <w:pStyle w:val="Normal"/>
              <w:widowControl w:val="false"/>
              <w:spacing w:lineRule="auto" w:line="240"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jc w:val="center"/>
              <w:rPr/>
            </w:pPr>
            <w:r>
              <w:rPr>
                <w:rFonts w:eastAsia="Arial" w:cs="Arial" w:ascii="Arial" w:hAnsi="Arial"/>
                <w:b/>
                <w:bCs/>
                <w:color w:val="000000" w:themeColor="text1"/>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jc w:val="center"/>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jc w:val="center"/>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jc w:val="center"/>
              <w:rPr/>
            </w:pPr>
            <w:r>
              <w:rPr>
                <w:rFonts w:eastAsia="Arial" w:cs="Arial" w:ascii="Arial" w:hAnsi="Arial"/>
                <w:b/>
                <w:bCs/>
                <w:sz w:val="20"/>
                <w:szCs w:val="20"/>
              </w:rPr>
              <w:t>QUANTIDADE</w:t>
            </w:r>
          </w:p>
        </w:tc>
        <w:tc>
          <w:tcPr>
            <w:tcW w:w="12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jc w:val="center"/>
              <w:rPr/>
            </w:pPr>
            <w:r>
              <w:rPr>
                <w:rFonts w:eastAsia="Arial" w:cs="Arial" w:ascii="Arial" w:hAnsi="Arial"/>
                <w:b/>
                <w:bCs/>
                <w:sz w:val="20"/>
                <w:szCs w:val="20"/>
              </w:rPr>
              <w:t>VALOR UNITÁRIO</w:t>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jc w:val="center"/>
              <w:rPr/>
            </w:pPr>
            <w:r>
              <w:rPr>
                <w:rFonts w:eastAsia="Arial" w:cs="Arial" w:ascii="Arial" w:hAnsi="Arial"/>
                <w:b/>
                <w:bCs/>
                <w:sz w:val="20"/>
                <w:szCs w:val="20"/>
              </w:rPr>
              <w:t>VALOR TOTAL</w:t>
            </w:r>
          </w:p>
        </w:tc>
      </w:tr>
      <w:tr>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jc w:val="center"/>
              <w:rPr/>
            </w:pPr>
            <w:r>
              <w:rPr>
                <w:rFonts w:eastAsia="Arial" w:cs="Arial" w:ascii="Arial" w:hAnsi="Arial"/>
                <w:b/>
                <w:bCs/>
                <w:color w:val="000000" w:themeColor="text1"/>
                <w:sz w:val="20"/>
                <w:szCs w:val="20"/>
              </w:rPr>
              <w:t>1</w:t>
            </w:r>
          </w:p>
        </w:tc>
        <w:tc>
          <w:tcPr>
            <w:tcW w:w="2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c>
          <w:tcPr>
            <w:tcW w:w="12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jc w:val="center"/>
              <w:rPr/>
            </w:pPr>
            <w:r>
              <w:rPr>
                <w:rFonts w:eastAsia="Arial" w:cs="Arial" w:ascii="Arial" w:hAnsi="Arial"/>
                <w:b/>
                <w:bCs/>
                <w:color w:val="000000" w:themeColor="text1"/>
                <w:sz w:val="20"/>
                <w:szCs w:val="20"/>
              </w:rPr>
              <w:t>2</w:t>
            </w:r>
          </w:p>
        </w:tc>
        <w:tc>
          <w:tcPr>
            <w:tcW w:w="2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c>
          <w:tcPr>
            <w:tcW w:w="12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240"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1"/>
        </w:numPr>
        <w:spacing w:lineRule="auto" w:line="240"/>
        <w:ind w:left="0" w:hanging="0"/>
        <w:rPr/>
      </w:pPr>
      <w:r>
        <w:rPr/>
        <w:t>Vinculam esta contratação, independentemente de transcrição:</w:t>
      </w:r>
    </w:p>
    <w:p>
      <w:pPr>
        <w:pStyle w:val="Nivel3"/>
        <w:numPr>
          <w:ilvl w:val="2"/>
          <w:numId w:val="122"/>
        </w:numPr>
        <w:spacing w:lineRule="auto" w:line="240"/>
        <w:ind w:left="284" w:hanging="0"/>
        <w:rPr/>
      </w:pPr>
      <w:r>
        <w:rPr/>
        <w:t>O Termo de Referência;</w:t>
      </w:r>
    </w:p>
    <w:p>
      <w:pPr>
        <w:pStyle w:val="Nivel3"/>
        <w:numPr>
          <w:ilvl w:val="2"/>
          <w:numId w:val="123"/>
        </w:numPr>
        <w:spacing w:lineRule="auto" w:line="240"/>
        <w:ind w:left="284" w:hanging="0"/>
        <w:rPr/>
      </w:pPr>
      <w:r>
        <w:rPr/>
        <w:t>O Edital da Licitação;</w:t>
      </w:r>
    </w:p>
    <w:p>
      <w:pPr>
        <w:pStyle w:val="Nivel3"/>
        <w:numPr>
          <w:ilvl w:val="2"/>
          <w:numId w:val="124"/>
        </w:numPr>
        <w:spacing w:lineRule="auto" w:line="240"/>
        <w:ind w:left="284" w:hanging="0"/>
        <w:rPr/>
      </w:pPr>
      <w:r>
        <w:rPr/>
        <w:t>A Proposta do contratado;</w:t>
      </w:r>
    </w:p>
    <w:p>
      <w:pPr>
        <w:pStyle w:val="Nivel3"/>
        <w:numPr>
          <w:ilvl w:val="2"/>
          <w:numId w:val="125"/>
        </w:numPr>
        <w:spacing w:lineRule="auto" w:line="240"/>
        <w:ind w:left="284" w:hanging="0"/>
        <w:rPr/>
      </w:pPr>
      <w:r>
        <w:rPr/>
        <w:t>Eventuais anexos dos documentos supracitados.</w:t>
      </w:r>
    </w:p>
    <w:p>
      <w:pPr>
        <w:pStyle w:val="Nivel01"/>
        <w:numPr>
          <w:ilvl w:val="0"/>
          <w:numId w:val="126"/>
        </w:numPr>
        <w:spacing w:lineRule="auto" w:line="240"/>
        <w:ind w:left="0" w:hanging="0"/>
        <w:rPr/>
      </w:pPr>
      <w:r>
        <w:rPr/>
        <w:t>CLÁUSULA SEGUNDA – VIGÊNCIA E PRORROGAÇÃO</w:t>
      </w:r>
    </w:p>
    <w:p>
      <w:pPr>
        <w:pStyle w:val="Nvel2Red"/>
        <w:numPr>
          <w:ilvl w:val="1"/>
          <w:numId w:val="127"/>
        </w:numPr>
        <w:spacing w:lineRule="auto" w:line="240"/>
        <w:ind w:left="0" w:hanging="0"/>
        <w:rPr/>
      </w:pPr>
      <w:r>
        <w:rPr>
          <w:i w:val="false"/>
          <w:iCs w:val="false"/>
          <w:color w:val="000000"/>
        </w:rPr>
        <w:t xml:space="preserve">O prazo de vigência da contratação é de 12 (doze) meses, contados da assinatura do contrato, na forma do </w:t>
      </w:r>
      <w:r>
        <w:fldChar w:fldCharType="begin"/>
      </w:r>
      <w:r>
        <w:rPr>
          <w:rStyle w:val="LinkdaInternet"/>
          <w:i w:val="false"/>
          <w:iCs w:val="false"/>
          <w:color w:val="000000"/>
        </w:rPr>
        <w:instrText xml:space="preserve"> HYPERLINK "http://www.planalto.gov.br/ccivil_03/_ato2019-2022/2021/lei/L14133.htm" \l "art105"</w:instrText>
      </w:r>
      <w:r>
        <w:rPr>
          <w:rStyle w:val="LinkdaInternet"/>
          <w:i w:val="false"/>
          <w:iCs w:val="false"/>
          <w:color w:val="000000"/>
        </w:rPr>
        <w:fldChar w:fldCharType="separate"/>
      </w:r>
      <w:r>
        <w:rPr>
          <w:rStyle w:val="LinkdaInternet"/>
          <w:i w:val="false"/>
          <w:iCs w:val="false"/>
          <w:color w:val="000000"/>
        </w:rPr>
        <w:t>artigo 105 da Lei n° 14.133, de 2021</w:t>
      </w:r>
      <w:r>
        <w:rPr>
          <w:rStyle w:val="LinkdaInternet"/>
          <w:i w:val="false"/>
          <w:iCs w:val="false"/>
          <w:color w:val="000000"/>
        </w:rPr>
        <w:fldChar w:fldCharType="end"/>
      </w:r>
      <w:r>
        <w:rPr>
          <w:i w:val="false"/>
          <w:iCs w:val="false"/>
          <w:color w:val="000000"/>
        </w:rPr>
        <w:t>.</w:t>
      </w:r>
    </w:p>
    <w:p>
      <w:pPr>
        <w:pStyle w:val="Nvel3R"/>
        <w:numPr>
          <w:ilvl w:val="2"/>
          <w:numId w:val="128"/>
        </w:numPr>
        <w:spacing w:lineRule="auto" w:line="240"/>
        <w:ind w:left="284" w:hanging="0"/>
        <w:rPr/>
      </w:pPr>
      <w:r>
        <w:rPr>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
        <w:numPr>
          <w:ilvl w:val="0"/>
          <w:numId w:val="129"/>
        </w:numPr>
        <w:spacing w:lineRule="auto" w:line="240"/>
        <w:ind w:left="0" w:hanging="0"/>
        <w:rPr/>
      </w:pPr>
      <w:r>
        <w:rPr/>
        <w:t>CLÁUSULA TERCEIRA – MODELOS DE EXECUÇÃO E GESTÃO CONTRATUAIS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30"/>
        </w:numPr>
        <w:spacing w:lineRule="auto" w:line="240"/>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1"/>
        </w:numPr>
        <w:spacing w:lineRule="auto" w:line="240"/>
        <w:ind w:left="0" w:hanging="0"/>
        <w:rPr/>
      </w:pPr>
      <w:r>
        <w:rPr/>
        <w:t>CLÁUSULA QUARTA – SUBCONTRATAÇÃO</w:t>
      </w:r>
    </w:p>
    <w:p>
      <w:pPr>
        <w:pStyle w:val="Nvel2Red"/>
        <w:numPr>
          <w:ilvl w:val="1"/>
          <w:numId w:val="132"/>
        </w:numPr>
        <w:spacing w:lineRule="auto" w:line="240"/>
        <w:ind w:left="0" w:hanging="0"/>
        <w:rPr/>
      </w:pPr>
      <w:r>
        <w:rPr>
          <w:i w:val="false"/>
          <w:iCs w:val="false"/>
          <w:color w:val="000000"/>
        </w:rPr>
        <w:t>Não será admitida a subcontratação do objeto contratual.</w:t>
      </w:r>
    </w:p>
    <w:p>
      <w:pPr>
        <w:pStyle w:val="Nivel01"/>
        <w:numPr>
          <w:ilvl w:val="0"/>
          <w:numId w:val="133"/>
        </w:numPr>
        <w:spacing w:lineRule="auto" w:line="240"/>
        <w:ind w:left="0" w:hanging="0"/>
        <w:rPr/>
      </w:pPr>
      <w:r>
        <w:rPr/>
        <w:t>CLÁUSULA QUINTA – PREÇO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p>
    <w:p>
      <w:pPr>
        <w:pStyle w:val="Nvel2Red"/>
        <w:numPr>
          <w:ilvl w:val="1"/>
          <w:numId w:val="134"/>
        </w:numPr>
        <w:spacing w:lineRule="auto" w:line="240"/>
        <w:ind w:left="0" w:hanging="0"/>
        <w:rPr/>
      </w:pPr>
      <w:r>
        <w:rPr>
          <w:i w:val="false"/>
          <w:iCs w:val="false"/>
          <w:color w:val="000000"/>
        </w:rPr>
        <w:t>O valor total da contratação é de R$.......... (.....)</w:t>
      </w:r>
    </w:p>
    <w:p>
      <w:pPr>
        <w:pStyle w:val="Nivel2"/>
        <w:numPr>
          <w:ilvl w:val="1"/>
          <w:numId w:val="135"/>
        </w:numPr>
        <w:spacing w:lineRule="auto" w:line="240"/>
        <w:ind w:left="0" w:hanging="0"/>
        <w:rPr/>
      </w:pPr>
      <w:r>
        <w:rPr>
          <w:i w:val="false"/>
          <w:iCs w:val="false"/>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36"/>
        </w:numPr>
        <w:spacing w:lineRule="auto" w:line="240"/>
        <w:ind w:left="0" w:hanging="0"/>
        <w:rPr/>
      </w:pPr>
      <w:r>
        <w:rPr>
          <w:i w:val="false"/>
          <w:iCs w:val="false"/>
          <w:color w:val="000000"/>
        </w:rPr>
        <w:t>O valor acima é meramente estimativo, de forma que os pagamentos devidos ao contratado dependerão dos quantitativos efetivamente fornecidos.</w:t>
      </w:r>
    </w:p>
    <w:p>
      <w:pPr>
        <w:pStyle w:val="Nivel01"/>
        <w:numPr>
          <w:ilvl w:val="0"/>
          <w:numId w:val="137"/>
        </w:numPr>
        <w:spacing w:lineRule="auto" w:line="240"/>
        <w:ind w:left="0" w:hanging="0"/>
        <w:rPr/>
      </w:pPr>
      <w:r>
        <w:rPr/>
        <w:t>CLÁUSULA SEXTA - PAGAMENTO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38"/>
        </w:numPr>
        <w:spacing w:lineRule="auto" w:line="240"/>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39"/>
        </w:numPr>
        <w:spacing w:lineRule="auto" w:line="240"/>
        <w:ind w:left="0" w:hanging="0"/>
        <w:rPr/>
      </w:pPr>
      <w:r>
        <w:rPr/>
        <w:t>CLÁUSULA SÉTIMA - REAJUSTE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p>
    <w:p>
      <w:pPr>
        <w:pStyle w:val="Nivel2"/>
        <w:numPr>
          <w:ilvl w:val="1"/>
          <w:numId w:val="140"/>
        </w:numPr>
        <w:spacing w:lineRule="auto" w:line="240"/>
        <w:ind w:left="0" w:hanging="0"/>
        <w:rPr/>
      </w:pPr>
      <w:r>
        <w:rPr/>
        <w:t xml:space="preserve">Os preços inicialmente contratados são fixos e irreajustáveis no prazo de um ano contado da data do orçamento estimado, em </w:t>
      </w:r>
      <w:r>
        <w:rPr>
          <w:i/>
          <w:iCs/>
          <w:color w:val="FF0000"/>
        </w:rPr>
        <w:t>__/__/__ (DD/MM/AAAA)</w:t>
      </w:r>
      <w:r>
        <w:rPr/>
        <w:t>.</w:t>
      </w:r>
    </w:p>
    <w:p>
      <w:pPr>
        <w:pStyle w:val="Nivel01"/>
        <w:numPr>
          <w:ilvl w:val="0"/>
          <w:numId w:val="141"/>
        </w:numPr>
        <w:spacing w:lineRule="auto" w:line="240"/>
        <w:ind w:left="0" w:hanging="0"/>
        <w:rPr/>
      </w:pPr>
      <w:r>
        <w:rPr/>
        <w:t>CLÁUSULA OITAVA - OBRIGAÇÕES DO CONTRATANTE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42"/>
        </w:numPr>
        <w:spacing w:lineRule="auto" w:line="240"/>
        <w:ind w:left="0" w:hanging="0"/>
        <w:rPr/>
      </w:pPr>
      <w:r>
        <w:rPr/>
        <w:t>São obrigações do Contratante:</w:t>
      </w:r>
    </w:p>
    <w:p>
      <w:pPr>
        <w:pStyle w:val="Nivel2"/>
        <w:numPr>
          <w:ilvl w:val="1"/>
          <w:numId w:val="143"/>
        </w:numPr>
        <w:spacing w:lineRule="auto" w:line="240"/>
        <w:ind w:left="0" w:hanging="0"/>
        <w:rPr/>
      </w:pPr>
      <w:r>
        <w:rPr/>
        <w:t>Exigir o cumprimento de todas as obrigações assumidas pelo Contratado, de acordo com o contrato e seus anexos;</w:t>
      </w:r>
    </w:p>
    <w:p>
      <w:pPr>
        <w:pStyle w:val="Nivel2"/>
        <w:numPr>
          <w:ilvl w:val="1"/>
          <w:numId w:val="144"/>
        </w:numPr>
        <w:spacing w:lineRule="auto" w:line="240"/>
        <w:ind w:left="0" w:hanging="0"/>
        <w:rPr/>
      </w:pPr>
      <w:r>
        <w:rPr/>
        <w:t>Receber o objeto no prazo e condições estabelecidas no Termo de Referência;</w:t>
      </w:r>
    </w:p>
    <w:p>
      <w:pPr>
        <w:pStyle w:val="Nivel2"/>
        <w:numPr>
          <w:ilvl w:val="1"/>
          <w:numId w:val="145"/>
        </w:numPr>
        <w:spacing w:lineRule="auto" w:line="240"/>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46"/>
        </w:numPr>
        <w:spacing w:lineRule="auto" w:line="240"/>
        <w:ind w:left="0" w:hanging="0"/>
        <w:rPr/>
      </w:pPr>
      <w:r>
        <w:rPr/>
        <w:t>Acompanhar e fiscalizar a execução do contrato e o cumprimento das obrigações pelo Contratado;</w:t>
      </w:r>
    </w:p>
    <w:p>
      <w:pPr>
        <w:pStyle w:val="Nivel2"/>
        <w:numPr>
          <w:ilvl w:val="1"/>
          <w:numId w:val="147"/>
        </w:numPr>
        <w:spacing w:lineRule="auto" w:line="240"/>
        <w:ind w:left="0" w:hanging="0"/>
        <w:rPr/>
      </w:pPr>
      <w:r>
        <w:rPr/>
        <w:t xml:space="preserve">Efetuar o pagamento ao Contratado do valor correspondente ao fornecimento do objeto, no prazo, forma e condições estabelecidos no presente Contrato </w:t>
      </w:r>
      <w:r>
        <w:rPr>
          <w:highlight w:val="yellow"/>
        </w:rPr>
        <w:t>e no Termo de Referência</w:t>
      </w:r>
      <w:r>
        <w:rPr/>
        <w:t>.</w:t>
      </w:r>
    </w:p>
    <w:p>
      <w:pPr>
        <w:pStyle w:val="Nivel2"/>
        <w:numPr>
          <w:ilvl w:val="1"/>
          <w:numId w:val="148"/>
        </w:numPr>
        <w:spacing w:lineRule="auto" w:line="240"/>
        <w:ind w:left="0" w:hanging="0"/>
        <w:rPr/>
      </w:pPr>
      <w:r>
        <w:rPr/>
        <w:t xml:space="preserve">Aplicar ao Contratado as sanções previstas na lei e neste Contrato; </w:t>
      </w:r>
    </w:p>
    <w:p>
      <w:pPr>
        <w:pStyle w:val="Nivel2"/>
        <w:numPr>
          <w:ilvl w:val="1"/>
          <w:numId w:val="149"/>
        </w:numPr>
        <w:spacing w:lineRule="auto" w:line="240"/>
        <w:ind w:left="0" w:hanging="0"/>
        <w:rPr/>
      </w:pPr>
      <w:r>
        <w:rPr/>
        <w:t>Cientificar o órgão de representação judicial da Advocacia-Geral da União para adoção das medidas cabíveis quando do descumprimento de obrigações pelo Contratado;</w:t>
      </w:r>
    </w:p>
    <w:p>
      <w:pPr>
        <w:pStyle w:val="Nivel2"/>
        <w:numPr>
          <w:ilvl w:val="1"/>
          <w:numId w:val="150"/>
        </w:numPr>
        <w:spacing w:lineRule="auto" w:line="240"/>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151"/>
        </w:numPr>
        <w:spacing w:lineRule="auto" w:line="240"/>
        <w:ind w:left="0" w:hanging="0"/>
        <w:rPr/>
      </w:pPr>
      <w:r>
        <w:rPr/>
        <w:t xml:space="preserve"> </w:t>
      </w:r>
      <w:r>
        <w:rPr/>
        <w:t>A Administração terá o praz</w:t>
      </w:r>
      <w:r>
        <w:rPr>
          <w:color w:val="000000"/>
        </w:rPr>
        <w:t>o de</w:t>
      </w:r>
      <w:r>
        <w:rPr>
          <w:i/>
          <w:iCs/>
          <w:color w:val="000000"/>
        </w:rPr>
        <w:t xml:space="preserve"> 30 dias</w:t>
      </w:r>
      <w:r>
        <w:rPr>
          <w:color w:val="000000"/>
        </w:rPr>
        <w:t xml:space="preserve">, a contar da data do protocolo do requerimento para decidir, admitida a prorrogação motivada, por igual período. </w:t>
      </w:r>
    </w:p>
    <w:p>
      <w:pPr>
        <w:pStyle w:val="Nivel2"/>
        <w:numPr>
          <w:ilvl w:val="1"/>
          <w:numId w:val="152"/>
        </w:numPr>
        <w:spacing w:lineRule="auto" w:line="240"/>
        <w:ind w:left="0" w:hanging="0"/>
        <w:rPr/>
      </w:pPr>
      <w:r>
        <w:rPr>
          <w:color w:val="000000"/>
        </w:rPr>
        <w:t>Responder eventuais pedidos de reestabelecimento do equilíbrio econômico-financeiro feitos pelo contratado no prazo máximo de 30 dias.</w:t>
      </w:r>
    </w:p>
    <w:p>
      <w:pPr>
        <w:pStyle w:val="Nvel2Red"/>
        <w:numPr>
          <w:ilvl w:val="1"/>
          <w:numId w:val="153"/>
        </w:numPr>
        <w:spacing w:lineRule="auto" w:line="240"/>
        <w:ind w:left="0" w:hanging="0"/>
        <w:rPr/>
      </w:pPr>
      <w:r>
        <w:rPr>
          <w:color w:val="000000"/>
        </w:rPr>
        <w:t>Notificar os emitentes das garantias quanto ao início de processo administrativo para apuração de descumprimento de cláusulas contratuais.</w:t>
      </w:r>
    </w:p>
    <w:p>
      <w:pPr>
        <w:pStyle w:val="Nivel2"/>
        <w:numPr>
          <w:ilvl w:val="1"/>
          <w:numId w:val="154"/>
        </w:numPr>
        <w:spacing w:lineRule="auto" w:line="240"/>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55"/>
        </w:numPr>
        <w:spacing w:lineRule="auto" w:line="240"/>
        <w:ind w:left="0" w:hanging="0"/>
        <w:rPr/>
      </w:pPr>
      <w:r>
        <w:rPr/>
        <w:t>CLÁUSULA NONA - OBRIGAÇÕES DO CONTRATADO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p>
    <w:p>
      <w:pPr>
        <w:pStyle w:val="Nivel2"/>
        <w:numPr>
          <w:ilvl w:val="1"/>
          <w:numId w:val="156"/>
        </w:numPr>
        <w:spacing w:lineRule="auto" w:line="240"/>
        <w:ind w:left="0"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numPr>
          <w:ilvl w:val="1"/>
          <w:numId w:val="157"/>
        </w:numPr>
        <w:spacing w:lineRule="auto" w:line="240"/>
        <w:ind w:left="0" w:hanging="0"/>
        <w:rPr/>
      </w:pPr>
      <w:r>
        <w:rPr>
          <w:color w:val="000000"/>
        </w:rPr>
        <w:t>Entregar o objeto acompanhado do manual do usuário, com uma versão em português, e da relação da rede de assistência técnica autorizada;</w:t>
      </w:r>
    </w:p>
    <w:p>
      <w:pPr>
        <w:pStyle w:val="Nivel2"/>
        <w:numPr>
          <w:ilvl w:val="1"/>
          <w:numId w:val="158"/>
        </w:numPr>
        <w:spacing w:lineRule="auto" w:line="240"/>
        <w:ind w:left="0" w:hanging="0"/>
        <w:rPr/>
      </w:pPr>
      <w:r>
        <w:rPr/>
        <w:t>Responsabilizar-se pelos vícios e danos decorrentes do objeto, de acordo com o Código de Defesa do Consumidor (</w:t>
      </w:r>
      <w:hyperlink r:id="rId4">
        <w:r>
          <w:rPr>
            <w:rStyle w:val="LinkdaInternet"/>
          </w:rPr>
          <w:t>Lei nº 8.078, de 1990</w:t>
        </w:r>
      </w:hyperlink>
      <w:r>
        <w:rPr/>
        <w:t>);</w:t>
      </w:r>
    </w:p>
    <w:p>
      <w:pPr>
        <w:pStyle w:val="Nivel2"/>
        <w:numPr>
          <w:ilvl w:val="1"/>
          <w:numId w:val="159"/>
        </w:numPr>
        <w:spacing w:lineRule="auto" w:line="240"/>
        <w:ind w:left="0" w:hanging="0"/>
        <w:rPr/>
      </w:pPr>
      <w:r>
        <w:rPr/>
        <w:t>Comunicar ao contratante, no prazo máximo de 24 (vinte e quatro) horas que antecede a data da entrega, os motivos que impossibilitem o cumprimento do prazo previsto, com a devida comprovação;</w:t>
      </w:r>
    </w:p>
    <w:p>
      <w:pPr>
        <w:pStyle w:val="Nivel2"/>
        <w:numPr>
          <w:ilvl w:val="1"/>
          <w:numId w:val="160"/>
        </w:numPr>
        <w:spacing w:lineRule="auto" w:line="240"/>
        <w:ind w:left="0" w:hanging="0"/>
        <w:rPr/>
      </w:pPr>
      <w:r>
        <w:rPr>
          <w:color w:val="000000" w:themeColor="text1"/>
        </w:rPr>
        <w:t xml:space="preserve">Atender </w:t>
      </w:r>
      <w:r>
        <w:rPr/>
        <w:t>às</w:t>
      </w:r>
      <w:r>
        <w:rPr>
          <w:color w:val="000000" w:themeColor="text1"/>
        </w:rPr>
        <w:t xml:space="preserve"> determinações regulares emitidas pelo fiscal ou gestor do contrato ou autoridade superior (</w:t>
      </w:r>
      <w:r>
        <w:fldChar w:fldCharType="begin"/>
      </w:r>
      <w:r>
        <w:rPr>
          <w:rStyle w:val="LinkdaInternet"/>
        </w:rPr>
        <w:instrText xml:space="preserve">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161"/>
        </w:numPr>
        <w:spacing w:lineRule="auto" w:line="240"/>
        <w:ind w:left="0" w:hanging="0"/>
        <w:rPr/>
      </w:pPr>
      <w:r>
        <w:rPr/>
        <w:t>Reparar, corrigir, remover, reconstruir ou substituir, às suas expensas, no total ou em parte, no prazo fixado pelo fiscal do contrato, os bens nos quais se verificarem vícios, defeitos ou incorreções resultantes da execução ou dos materiais empregados;</w:t>
      </w:r>
    </w:p>
    <w:p>
      <w:pPr>
        <w:pStyle w:val="Nivel2"/>
        <w:numPr>
          <w:ilvl w:val="1"/>
          <w:numId w:val="162"/>
        </w:numPr>
        <w:spacing w:lineRule="auto" w:line="240"/>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63"/>
        </w:numPr>
        <w:spacing w:lineRule="auto" w:line="240"/>
        <w:ind w:left="0"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64"/>
        </w:numPr>
        <w:spacing w:lineRule="auto" w:line="240"/>
        <w:ind w:left="0"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65"/>
        </w:numPr>
        <w:spacing w:lineRule="auto" w:line="240"/>
        <w:ind w:left="0" w:hanging="0"/>
        <w:rPr/>
      </w:pPr>
      <w:r>
        <w:rPr/>
        <w:t>Comunicar ao Fiscal do contrato, no prazo de 24 (vinte e quatro) horas, qualquer ocorrência anormal ou acidente que se verifique no local da execução do objeto contratual.</w:t>
      </w:r>
    </w:p>
    <w:p>
      <w:pPr>
        <w:pStyle w:val="Nivel2"/>
        <w:numPr>
          <w:ilvl w:val="1"/>
          <w:numId w:val="166"/>
        </w:numPr>
        <w:spacing w:lineRule="auto" w:line="240"/>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67"/>
        </w:numPr>
        <w:spacing w:lineRule="auto" w:line="240"/>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168"/>
        </w:numPr>
        <w:spacing w:lineRule="auto" w:line="240"/>
        <w:ind w:left="0" w:hanging="0"/>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169"/>
        </w:numPr>
        <w:spacing w:lineRule="auto" w:line="240"/>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xml:space="preserve">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170"/>
        </w:numPr>
        <w:spacing w:lineRule="auto" w:line="240"/>
        <w:ind w:left="0" w:hanging="0"/>
        <w:rPr/>
      </w:pPr>
      <w:r>
        <w:rPr/>
        <w:t xml:space="preserve">  </w:t>
      </w:r>
      <w:r>
        <w:rPr/>
        <w:t xml:space="preserve">Guardar sigilo sobre todas as informações obtidas em decorrência do cumprimento do contrato; </w:t>
      </w:r>
    </w:p>
    <w:p>
      <w:pPr>
        <w:pStyle w:val="Nivel2"/>
        <w:numPr>
          <w:ilvl w:val="1"/>
          <w:numId w:val="171"/>
        </w:numPr>
        <w:spacing w:lineRule="auto" w:line="240"/>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xml:space="preserve">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p>
    <w:p>
      <w:pPr>
        <w:pStyle w:val="Nivel2"/>
        <w:numPr>
          <w:ilvl w:val="1"/>
          <w:numId w:val="172"/>
        </w:numPr>
        <w:spacing w:lineRule="auto" w:line="240"/>
        <w:ind w:left="0" w:hanging="0"/>
        <w:rPr/>
      </w:pPr>
      <w:r>
        <w:rPr/>
        <w:t>Cumprir, além dos postulados legais vigentes de âmbito federal, estadual ou municipal, as normas de segurança do contratante;</w:t>
      </w:r>
    </w:p>
    <w:p>
      <w:pPr>
        <w:pStyle w:val="Nvel2Red"/>
        <w:numPr>
          <w:ilvl w:val="1"/>
          <w:numId w:val="173"/>
        </w:numPr>
        <w:spacing w:lineRule="auto" w:line="240"/>
        <w:ind w:left="0" w:hanging="0"/>
        <w:rPr/>
      </w:pPr>
      <w:bookmarkStart w:id="0" w:name="_Ref118293001"/>
      <w:r>
        <w:rPr>
          <w:color w:val="00000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pPr>
        <w:pStyle w:val="Nvel2Red"/>
        <w:numPr>
          <w:ilvl w:val="1"/>
          <w:numId w:val="174"/>
        </w:numPr>
        <w:spacing w:lineRule="auto" w:line="240"/>
        <w:ind w:left="0" w:hanging="0"/>
        <w:rPr/>
      </w:pPr>
      <w:r>
        <w:rPr>
          <w:color w:val="000000"/>
        </w:rPr>
        <w:t>Orientar e treinar seus empregados sobre os deveres previstos na Lei nº 13.709, de 14 de agosto de 2018, adotando medidas eficazes para proteção de dados pessoais a que tenha acesso por força da execução deste contrato;</w:t>
      </w:r>
    </w:p>
    <w:p>
      <w:pPr>
        <w:pStyle w:val="Nvel2Red"/>
        <w:numPr>
          <w:ilvl w:val="1"/>
          <w:numId w:val="175"/>
        </w:numPr>
        <w:spacing w:lineRule="auto" w:line="240"/>
        <w:ind w:left="0" w:hanging="0"/>
        <w:rPr/>
      </w:pPr>
      <w:r>
        <w:rPr>
          <w:color w:val="000000"/>
        </w:rPr>
        <w:t>Conduzir os trabalhos com estrita observância às normas da legislação pertinente, cumprindo as determinações dos Poderes Públicos, mantendo sempre limpo o local d</w:t>
      </w:r>
      <w:r>
        <w:rPr>
          <w:color w:val="000000"/>
          <w:lang w:eastAsia="en-US"/>
        </w:rPr>
        <w:t>e execução do objeto</w:t>
      </w:r>
      <w:r>
        <w:rPr>
          <w:color w:val="000000"/>
        </w:rPr>
        <w:t xml:space="preserve"> e nas melhores condições de segurança, higiene e disciplina.</w:t>
      </w:r>
    </w:p>
    <w:p>
      <w:pPr>
        <w:pStyle w:val="Nvel2Red"/>
        <w:numPr>
          <w:ilvl w:val="1"/>
          <w:numId w:val="176"/>
        </w:numPr>
        <w:spacing w:lineRule="auto" w:line="240"/>
        <w:ind w:left="0" w:hanging="0"/>
        <w:rPr/>
      </w:pPr>
      <w:r>
        <w:rPr>
          <w:color w:val="000000"/>
        </w:rPr>
        <w:t>Submeter previamente, por escrito, ao contratante, para análise e aprovação, quaisquer mudanças nos métodos executivos que fujam às especificações do memorial descritivo ou instrumento congênere.</w:t>
      </w:r>
    </w:p>
    <w:p>
      <w:pPr>
        <w:pStyle w:val="Nvel2Red"/>
        <w:numPr>
          <w:ilvl w:val="1"/>
          <w:numId w:val="177"/>
        </w:numPr>
        <w:spacing w:lineRule="auto" w:line="240"/>
        <w:ind w:left="0" w:hanging="0"/>
        <w:rPr/>
      </w:pPr>
      <w:bookmarkStart w:id="1" w:name="_Ref118293030"/>
      <w:r>
        <w:rPr>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pPr>
        <w:pStyle w:val="Nivel01"/>
        <w:numPr>
          <w:ilvl w:val="0"/>
          <w:numId w:val="178"/>
        </w:numPr>
        <w:spacing w:lineRule="auto" w:line="240"/>
        <w:ind w:left="0" w:hanging="0"/>
        <w:rPr/>
      </w:pPr>
      <w:r>
        <w:rPr/>
        <w:t>CLÁUSULA DÉCIMA– GARANTIA DE EXECUÇÃO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1"/>
          <w:numId w:val="179"/>
        </w:numPr>
        <w:spacing w:lineRule="auto" w:line="240"/>
        <w:ind w:left="0" w:hanging="0"/>
        <w:rPr/>
      </w:pPr>
      <w:r>
        <w:rPr>
          <w:i w:val="false"/>
          <w:iCs w:val="false"/>
          <w:color w:val="000000"/>
        </w:rPr>
        <w:t>Não haverá exigência de garantia contratual da execução.</w:t>
      </w:r>
    </w:p>
    <w:p>
      <w:pPr>
        <w:pStyle w:val="Nivel01"/>
        <w:numPr>
          <w:ilvl w:val="0"/>
          <w:numId w:val="180"/>
        </w:numPr>
        <w:spacing w:lineRule="auto" w:line="240"/>
        <w:ind w:left="0" w:hanging="0"/>
        <w:rPr/>
      </w:pPr>
      <w:r>
        <w:rPr/>
        <w:t>CLÁUSULA DÉCIMA PRIMEIRA – INFRAÇÕES E SANÇÕES ADMINISTRATIVAS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81"/>
        </w:numPr>
        <w:spacing w:lineRule="auto" w:line="240"/>
        <w:ind w:left="0" w:hanging="0"/>
        <w:rPr/>
      </w:pPr>
      <w:r>
        <w:rPr/>
        <w:t xml:space="preserve">Comete infração administrativa, nos termos da </w:t>
      </w:r>
      <w:hyperlink r:id="rId5">
        <w:r>
          <w:rPr>
            <w:rStyle w:val="LinkdaInternet"/>
          </w:rPr>
          <w:t>Lei nº 14.133, de 2021</w:t>
        </w:r>
      </w:hyperlink>
      <w:r>
        <w:rPr/>
        <w:t>, o contratado que:</w:t>
      </w:r>
    </w:p>
    <w:p>
      <w:pPr>
        <w:pStyle w:val="Normal"/>
        <w:numPr>
          <w:ilvl w:val="2"/>
          <w:numId w:val="5"/>
        </w:numPr>
        <w:suppressAutoHyphens w:val="true"/>
        <w:spacing w:lineRule="auto" w:line="240" w:before="120" w:after="120"/>
        <w:ind w:left="284" w:hanging="0"/>
        <w:jc w:val="both"/>
        <w:rPr/>
      </w:pPr>
      <w:r>
        <w:rPr>
          <w:rFonts w:eastAsia="Arial" w:cs="Arial" w:ascii="Arial" w:hAnsi="Arial"/>
          <w:sz w:val="20"/>
          <w:szCs w:val="20"/>
        </w:rPr>
        <w:t>Der causa à inexecução parcial do contrato;</w:t>
      </w:r>
    </w:p>
    <w:p>
      <w:pPr>
        <w:pStyle w:val="Normal"/>
        <w:numPr>
          <w:ilvl w:val="2"/>
          <w:numId w:val="5"/>
        </w:numPr>
        <w:suppressAutoHyphens w:val="true"/>
        <w:spacing w:lineRule="auto" w:line="240" w:before="120" w:after="120"/>
        <w:ind w:left="284" w:hanging="0"/>
        <w:jc w:val="both"/>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40" w:before="120" w:after="120"/>
        <w:ind w:left="284" w:hanging="0"/>
        <w:jc w:val="both"/>
        <w:rPr/>
      </w:pPr>
      <w:r>
        <w:rPr>
          <w:rFonts w:eastAsia="Arial" w:cs="Arial" w:ascii="Arial" w:hAnsi="Arial"/>
          <w:sz w:val="20"/>
          <w:szCs w:val="20"/>
        </w:rPr>
        <w:t>Der causa à inexecução total do contrato;</w:t>
      </w:r>
    </w:p>
    <w:p>
      <w:pPr>
        <w:pStyle w:val="Normal"/>
        <w:numPr>
          <w:ilvl w:val="2"/>
          <w:numId w:val="5"/>
        </w:numPr>
        <w:suppressAutoHyphens w:val="true"/>
        <w:spacing w:lineRule="auto" w:line="240" w:before="120" w:after="120"/>
        <w:ind w:left="284" w:hanging="0"/>
        <w:jc w:val="both"/>
        <w:rPr/>
      </w:pPr>
      <w:r>
        <w:rPr>
          <w:rFonts w:eastAsia="Arial" w:cs="Arial" w:ascii="Arial" w:hAnsi="Arial"/>
          <w:sz w:val="20"/>
          <w:szCs w:val="20"/>
        </w:rPr>
        <w:t>Ensejar o retardamento da execução ou da entrega do objeto da contratação sem motivo justificado;</w:t>
      </w:r>
    </w:p>
    <w:p>
      <w:pPr>
        <w:pStyle w:val="Normal"/>
        <w:numPr>
          <w:ilvl w:val="2"/>
          <w:numId w:val="5"/>
        </w:numPr>
        <w:suppressAutoHyphens w:val="true"/>
        <w:spacing w:lineRule="auto" w:line="240" w:before="120" w:after="120"/>
        <w:ind w:left="284" w:hanging="0"/>
        <w:jc w:val="both"/>
        <w:rPr/>
      </w:pPr>
      <w:r>
        <w:rPr>
          <w:rFonts w:eastAsia="Arial" w:cs="Arial" w:ascii="Arial" w:hAnsi="Arial"/>
          <w:sz w:val="20"/>
          <w:szCs w:val="20"/>
        </w:rPr>
        <w:t>Apresentar documentação falsa ou prestar declaração falsa durante a execução do contrato;</w:t>
      </w:r>
    </w:p>
    <w:p>
      <w:pPr>
        <w:pStyle w:val="Normal"/>
        <w:numPr>
          <w:ilvl w:val="2"/>
          <w:numId w:val="5"/>
        </w:numPr>
        <w:suppressAutoHyphens w:val="true"/>
        <w:spacing w:lineRule="auto" w:line="240" w:before="120" w:after="120"/>
        <w:ind w:left="284" w:hanging="0"/>
        <w:jc w:val="both"/>
        <w:rPr/>
      </w:pPr>
      <w:r>
        <w:rPr>
          <w:rFonts w:eastAsia="Arial" w:cs="Arial" w:ascii="Arial" w:hAnsi="Arial"/>
          <w:sz w:val="20"/>
          <w:szCs w:val="20"/>
        </w:rPr>
        <w:t>Praticar ato fraudulento na execução do contrato;</w:t>
      </w:r>
    </w:p>
    <w:p>
      <w:pPr>
        <w:pStyle w:val="Normal"/>
        <w:numPr>
          <w:ilvl w:val="2"/>
          <w:numId w:val="5"/>
        </w:numPr>
        <w:suppressAutoHyphens w:val="true"/>
        <w:spacing w:lineRule="auto" w:line="240" w:before="120" w:after="120"/>
        <w:ind w:left="284" w:hanging="0"/>
        <w:jc w:val="both"/>
        <w:rPr/>
      </w:pPr>
      <w:r>
        <w:rPr>
          <w:rFonts w:eastAsia="Arial" w:cs="Arial" w:ascii="Arial" w:hAnsi="Arial"/>
          <w:sz w:val="20"/>
          <w:szCs w:val="20"/>
        </w:rPr>
        <w:t>Comportar-se de modo inidôneo ou cometer fraude de qualquer natureza;</w:t>
      </w:r>
    </w:p>
    <w:p>
      <w:pPr>
        <w:pStyle w:val="Normal"/>
        <w:numPr>
          <w:ilvl w:val="2"/>
          <w:numId w:val="5"/>
        </w:numPr>
        <w:suppressAutoHyphens w:val="true"/>
        <w:spacing w:lineRule="auto" w:line="240" w:before="120" w:after="120"/>
        <w:ind w:left="284" w:hanging="0"/>
        <w:jc w:val="both"/>
        <w:rPr/>
      </w:pPr>
      <w:r>
        <w:rPr>
          <w:rFonts w:eastAsia="Arial" w:cs="Arial" w:ascii="Arial" w:hAnsi="Arial"/>
          <w:sz w:val="20"/>
          <w:szCs w:val="20"/>
        </w:rPr>
        <w:t xml:space="preserve">Praticar ato lesivo previsto no </w:t>
      </w:r>
      <w:r>
        <w:fldChar w:fldCharType="begin"/>
      </w:r>
      <w:r>
        <w:rPr>
          <w:rStyle w:val="LinkdaInternet"/>
          <w:sz w:val="20"/>
          <w:szCs w:val="20"/>
          <w:rFonts w:eastAsia="Arial" w:cs="Arial" w:ascii="Arial" w:hAnsi="Arial"/>
        </w:rPr>
        <w:instrText xml:space="preserve">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ivel2"/>
        <w:numPr>
          <w:ilvl w:val="1"/>
          <w:numId w:val="182"/>
        </w:numPr>
        <w:spacing w:lineRule="auto" w:line="240"/>
        <w:ind w:left="0" w:hanging="0"/>
        <w:rPr/>
      </w:pPr>
      <w:r>
        <w:rPr/>
        <w:t>Serão aplicadas ao contratado que incorrer nas infrações acima descritas as seguintes sanções:</w:t>
      </w:r>
    </w:p>
    <w:p>
      <w:pPr>
        <w:pStyle w:val="ListParagraph"/>
        <w:numPr>
          <w:ilvl w:val="0"/>
          <w:numId w:val="6"/>
        </w:numPr>
        <w:suppressAutoHyphens w:val="true"/>
        <w:spacing w:lineRule="auto" w:line="240" w:before="120" w:after="120"/>
        <w:ind w:left="284" w:hanging="0"/>
        <w:contextualSpacing/>
        <w:jc w:val="both"/>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2" w:name="_Hlk114504069"/>
      <w:r>
        <w:rPr>
          <w:rStyle w:val="LinkdaInternet"/>
          <w:rFonts w:eastAsia="Arial" w:cs="Arial" w:ascii="Arial" w:hAnsi="Arial"/>
          <w:sz w:val="20"/>
          <w:szCs w:val="20"/>
        </w:rPr>
        <w:t>Lei nº 14.133, de 2021</w:t>
      </w:r>
      <w:bookmarkEnd w:id="2"/>
      <w:r>
        <w:rPr>
          <w:rFonts w:eastAsia="Arial" w:cs="Arial" w:ascii="Arial" w:hAnsi="Arial"/>
          <w:sz w:val="20"/>
          <w:szCs w:val="20"/>
        </w:rPr>
        <w:t>);</w:t>
      </w:r>
    </w:p>
    <w:p>
      <w:pPr>
        <w:pStyle w:val="ListParagraph"/>
        <w:numPr>
          <w:ilvl w:val="0"/>
          <w:numId w:val="6"/>
        </w:numPr>
        <w:suppressAutoHyphens w:val="true"/>
        <w:spacing w:lineRule="auto" w:line="240" w:before="120" w:after="120"/>
        <w:ind w:left="284" w:hanging="0"/>
        <w:contextualSpacing/>
        <w:jc w:val="both"/>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40" w:before="120" w:after="120"/>
        <w:ind w:left="284" w:hanging="0"/>
        <w:contextualSpacing/>
        <w:jc w:val="both"/>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xml:space="preserve">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40" w:before="120" w:after="120"/>
        <w:ind w:left="284" w:hanging="0"/>
        <w:contextualSpacing/>
        <w:jc w:val="both"/>
        <w:rPr/>
      </w:pPr>
      <w:r>
        <w:rPr>
          <w:rFonts w:eastAsia="Arial" w:cs="Arial" w:ascii="Arial" w:hAnsi="Arial"/>
          <w:b/>
          <w:bCs/>
          <w:sz w:val="20"/>
          <w:szCs w:val="20"/>
        </w:rPr>
        <w:t>Multa:</w:t>
      </w:r>
    </w:p>
    <w:p>
      <w:pPr>
        <w:pStyle w:val="Normal"/>
        <w:numPr>
          <w:ilvl w:val="3"/>
          <w:numId w:val="6"/>
        </w:numPr>
        <w:suppressAutoHyphens w:val="true"/>
        <w:spacing w:lineRule="auto" w:line="240" w:before="120" w:after="120"/>
        <w:ind w:left="567" w:hanging="0"/>
        <w:contextualSpacing/>
        <w:jc w:val="both"/>
        <w:rPr/>
      </w:pPr>
      <w:r>
        <w:rPr>
          <w:rFonts w:eastAsia="Arial" w:cs="Arial" w:ascii="Arial" w:hAnsi="Arial"/>
          <w:color w:val="000000"/>
          <w:sz w:val="20"/>
          <w:szCs w:val="20"/>
          <w:shd w:fill="FFFFFF" w:val="clear"/>
        </w:rPr>
        <w:t>Moratória de 1%. (um por cento) por dia de atraso injustificado sobre o valor da parcela inadimplida, até o limite de 30 (trinta) dias;</w:t>
      </w:r>
    </w:p>
    <w:p>
      <w:pPr>
        <w:pStyle w:val="Normal"/>
        <w:numPr>
          <w:ilvl w:val="3"/>
          <w:numId w:val="6"/>
        </w:numPr>
        <w:suppressAutoHyphens w:val="true"/>
        <w:spacing w:lineRule="auto" w:line="240" w:before="120" w:after="120"/>
        <w:ind w:left="567" w:hanging="0"/>
        <w:contextualSpacing/>
        <w:jc w:val="both"/>
        <w:rPr/>
      </w:pPr>
      <w:r>
        <w:rPr>
          <w:rFonts w:eastAsia="Arial" w:cs="Arial" w:ascii="Arial" w:hAnsi="Arial"/>
          <w:i/>
          <w:iCs/>
          <w:color w:val="000000"/>
          <w:sz w:val="20"/>
          <w:szCs w:val="20"/>
          <w:shd w:fill="FFFFFF" w:val="clear"/>
        </w:rPr>
        <w:t>Moratória de 1% (um por cento) por dia de atraso injustificado sobre o valor da parcela inadimplida, até o limite de 30 (trinta) dias;</w:t>
      </w:r>
    </w:p>
    <w:p>
      <w:pPr>
        <w:pStyle w:val="Normal"/>
        <w:numPr>
          <w:ilvl w:val="7"/>
          <w:numId w:val="6"/>
        </w:numPr>
        <w:suppressAutoHyphens w:val="true"/>
        <w:spacing w:lineRule="auto" w:line="240" w:before="120" w:after="120"/>
        <w:ind w:left="851" w:hanging="0"/>
        <w:contextualSpacing/>
        <w:jc w:val="both"/>
        <w:rPr/>
      </w:pPr>
      <w:r>
        <w:rPr>
          <w:rFonts w:eastAsia="Arial" w:cs="Arial" w:ascii="Arial" w:hAnsi="Arial"/>
          <w:i/>
          <w:iCs/>
          <w:color w:val="000000"/>
          <w:sz w:val="20"/>
          <w:szCs w:val="20"/>
          <w:shd w:fill="FFFFFF" w:val="clear"/>
        </w:rPr>
        <w:t xml:space="preserve">O atraso superior a 25 (vinte e cinco) dias autoriza a Administração a promover a extinção do contrato por descumprimento ou cumprimento irregular de suas cláusulas, conforme dispõe o </w:t>
      </w:r>
      <w:r>
        <w:fldChar w:fldCharType="begin"/>
      </w:r>
      <w:r>
        <w:rPr>
          <w:rStyle w:val="LinkdaInternet"/>
          <w:sz w:val="20"/>
          <w:i/>
          <w:shd w:fill="FFFFFF" w:val="clear"/>
          <w:szCs w:val="20"/>
          <w:iCs/>
          <w:rFonts w:eastAsia="Arial" w:cs="Arial" w:ascii="Arial" w:hAnsi="Arial"/>
          <w:color w:val="000000"/>
        </w:rPr>
        <w:instrText xml:space="preserve"> HYPERLINK "http://www.planalto.gov.br/ccivil_03/_ato2019-2022/2021/lei/L14133.htm" \l "art137"</w:instrText>
      </w:r>
      <w:r>
        <w:rPr>
          <w:rStyle w:val="LinkdaInternet"/>
          <w:sz w:val="20"/>
          <w:i/>
          <w:shd w:fill="FFFFFF" w:val="clear"/>
          <w:szCs w:val="20"/>
          <w:iCs/>
          <w:rFonts w:eastAsia="Arial" w:cs="Arial" w:ascii="Arial" w:hAnsi="Arial"/>
          <w:color w:val="000000"/>
        </w:rPr>
        <w:fldChar w:fldCharType="separate"/>
      </w:r>
      <w:r>
        <w:rPr>
          <w:rStyle w:val="LinkdaInternet"/>
          <w:rFonts w:eastAsia="Arial" w:cs="Arial" w:ascii="Arial" w:hAnsi="Arial"/>
          <w:i/>
          <w:iCs/>
          <w:color w:val="000000"/>
          <w:sz w:val="20"/>
          <w:szCs w:val="20"/>
          <w:shd w:fill="FFFFFF" w:val="clear"/>
        </w:rPr>
        <w:t>inciso I do art. 137 da Lei n. 14.133, de 2021</w:t>
      </w:r>
      <w:r>
        <w:rPr>
          <w:rStyle w:val="LinkdaInternet"/>
          <w:sz w:val="20"/>
          <w:i/>
          <w:shd w:fill="FFFFFF" w:val="clear"/>
          <w:szCs w:val="20"/>
          <w:iCs/>
          <w:rFonts w:eastAsia="Arial" w:cs="Arial" w:ascii="Arial" w:hAnsi="Arial"/>
          <w:color w:val="000000"/>
        </w:rPr>
        <w:fldChar w:fldCharType="end"/>
      </w:r>
      <w:r>
        <w:rPr>
          <w:rFonts w:eastAsia="Arial" w:cs="Arial" w:ascii="Arial" w:hAnsi="Arial"/>
          <w:i/>
          <w:iCs/>
          <w:color w:val="000000"/>
          <w:sz w:val="20"/>
          <w:szCs w:val="20"/>
          <w:shd w:fill="FFFFFF" w:val="clear"/>
        </w:rPr>
        <w:t>.</w:t>
      </w:r>
    </w:p>
    <w:p>
      <w:pPr>
        <w:pStyle w:val="Normal"/>
        <w:numPr>
          <w:ilvl w:val="3"/>
          <w:numId w:val="6"/>
        </w:numPr>
        <w:suppressAutoHyphens w:val="true"/>
        <w:spacing w:lineRule="auto" w:line="240" w:before="120" w:after="120"/>
        <w:ind w:left="567" w:hanging="0"/>
        <w:contextualSpacing/>
        <w:jc w:val="both"/>
        <w:rPr/>
      </w:pPr>
      <w:r>
        <w:rPr>
          <w:rFonts w:eastAsia="Arial" w:cs="Arial" w:ascii="Arial" w:hAnsi="Arial"/>
          <w:color w:val="000000"/>
          <w:sz w:val="20"/>
          <w:szCs w:val="20"/>
          <w:shd w:fill="FFFFFF" w:val="clear"/>
        </w:rPr>
        <w:t xml:space="preserve"> </w:t>
      </w:r>
      <w:r>
        <w:rPr>
          <w:rFonts w:eastAsia="Arial" w:cs="Arial" w:ascii="Arial" w:hAnsi="Arial"/>
          <w:color w:val="000000"/>
          <w:sz w:val="20"/>
          <w:szCs w:val="20"/>
          <w:shd w:fill="FFFFFF" w:val="clear"/>
        </w:rPr>
        <w:t>Compensatória, para as infrações descritas nas alíneas “e” a “h” do subitem 12.1, de.10% a 30.% do valor do Contrato.</w:t>
      </w:r>
    </w:p>
    <w:p>
      <w:pPr>
        <w:pStyle w:val="Normal"/>
        <w:numPr>
          <w:ilvl w:val="3"/>
          <w:numId w:val="6"/>
        </w:numPr>
        <w:suppressAutoHyphens w:val="true"/>
        <w:spacing w:lineRule="auto" w:line="240" w:before="120" w:after="120"/>
        <w:ind w:left="567" w:hanging="0"/>
        <w:contextualSpacing/>
        <w:jc w:val="both"/>
        <w:rPr/>
      </w:pPr>
      <w:r>
        <w:rPr>
          <w:rFonts w:eastAsia="Arial" w:cs="Arial" w:ascii="Arial" w:hAnsi="Arial"/>
          <w:color w:val="000000"/>
          <w:sz w:val="20"/>
          <w:szCs w:val="20"/>
          <w:shd w:fill="FFFFFF" w:val="clear"/>
        </w:rPr>
        <w:t xml:space="preserve">Compensatória, para a inexecução total do contrato prevista na alínea “c” do subitem 12.1, de 5 % a 10% do valor do Contrato. </w:t>
      </w:r>
    </w:p>
    <w:p>
      <w:pPr>
        <w:pStyle w:val="Normal"/>
        <w:numPr>
          <w:ilvl w:val="3"/>
          <w:numId w:val="6"/>
        </w:numPr>
        <w:suppressAutoHyphens w:val="true"/>
        <w:spacing w:lineRule="auto" w:line="240" w:before="120" w:after="120"/>
        <w:ind w:left="567" w:hanging="0"/>
        <w:contextualSpacing/>
        <w:jc w:val="both"/>
        <w:rPr/>
      </w:pPr>
      <w:r>
        <w:rPr>
          <w:rFonts w:eastAsia="Arial" w:cs="Arial" w:ascii="Arial" w:hAnsi="Arial"/>
          <w:color w:val="000000"/>
          <w:sz w:val="20"/>
          <w:szCs w:val="20"/>
          <w:shd w:fill="FFFFFF" w:val="clear"/>
        </w:rPr>
        <w:t>Para infração descrita na alínea “b” do subitem 12.1, a multa será de 10% a 15.%  do valor do Contrato.</w:t>
      </w:r>
    </w:p>
    <w:p>
      <w:pPr>
        <w:pStyle w:val="Normal"/>
        <w:numPr>
          <w:ilvl w:val="3"/>
          <w:numId w:val="6"/>
        </w:numPr>
        <w:suppressAutoHyphens w:val="true"/>
        <w:spacing w:lineRule="auto" w:line="240" w:before="120" w:after="120"/>
        <w:ind w:left="567" w:hanging="0"/>
        <w:contextualSpacing/>
        <w:jc w:val="both"/>
        <w:rPr/>
      </w:pPr>
      <w:r>
        <w:rPr>
          <w:rFonts w:eastAsia="Arial" w:cs="Arial" w:ascii="Arial" w:hAnsi="Arial"/>
          <w:color w:val="000000"/>
          <w:sz w:val="20"/>
          <w:szCs w:val="20"/>
          <w:shd w:fill="FFFFFF" w:val="clear"/>
        </w:rPr>
        <w:t>Para infrações descritas na alínea “d” do subitem 12.1, a multa será de 5.% a 10 %  do valor do Contrato.</w:t>
      </w:r>
    </w:p>
    <w:p>
      <w:pPr>
        <w:pStyle w:val="Normal"/>
        <w:numPr>
          <w:ilvl w:val="3"/>
          <w:numId w:val="6"/>
        </w:numPr>
        <w:suppressAutoHyphens w:val="true"/>
        <w:spacing w:lineRule="auto" w:line="240" w:before="120" w:after="120"/>
        <w:ind w:left="567" w:hanging="0"/>
        <w:contextualSpacing/>
        <w:jc w:val="both"/>
        <w:rPr/>
      </w:pPr>
      <w:r>
        <w:rPr>
          <w:rFonts w:eastAsia="Arial" w:cs="Arial" w:ascii="Arial" w:hAnsi="Arial"/>
          <w:color w:val="000000"/>
          <w:sz w:val="20"/>
          <w:szCs w:val="20"/>
          <w:shd w:fill="FFFFFF" w:val="clear"/>
        </w:rPr>
        <w:t>Para a infração descrita na alínea “a” do subitem 12.1, a multa será de 5.% a 10 % do valor do Contrato, ressalvadas as seguintes infrações:</w:t>
      </w:r>
    </w:p>
    <w:p>
      <w:pPr>
        <w:pStyle w:val="Nivel2"/>
        <w:numPr>
          <w:ilvl w:val="1"/>
          <w:numId w:val="183"/>
        </w:numPr>
        <w:spacing w:lineRule="auto" w:line="240"/>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xml:space="preserve">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3"/>
        <w:numPr>
          <w:ilvl w:val="2"/>
          <w:numId w:val="184"/>
        </w:numPr>
        <w:spacing w:lineRule="auto" w:line="240"/>
        <w:ind w:left="284" w:hanging="0"/>
        <w:rPr/>
      </w:pPr>
      <w:r>
        <w:rPr/>
        <w:t>Todas as sanções previstas neste Contrato poderão ser aplicadas cumulativamente com a multa (</w:t>
      </w:r>
      <w:r>
        <w:fldChar w:fldCharType="begin"/>
      </w:r>
      <w:r>
        <w:rPr>
          <w:rStyle w:val="LinkdaInternet"/>
        </w:rPr>
        <w:instrText xml:space="preserve">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85"/>
        </w:numPr>
        <w:spacing w:lineRule="auto" w:line="240"/>
        <w:ind w:left="284" w:hanging="0"/>
        <w:rPr/>
      </w:pPr>
      <w:r>
        <w:rPr/>
        <w:t>Antes da aplicação da multa será facultada a defesa do interessado no prazo de 15 (quinze) dias úteis, contado da data de sua intimação (</w:t>
      </w:r>
      <w:r>
        <w:fldChar w:fldCharType="begin"/>
      </w:r>
      <w:r>
        <w:rPr>
          <w:rStyle w:val="LinkdaInternet"/>
        </w:rPr>
        <w:instrText xml:space="preserve">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186"/>
        </w:numPr>
        <w:spacing w:lineRule="auto" w:line="240"/>
        <w:ind w:left="284"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xml:space="preserve">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187"/>
        </w:numPr>
        <w:spacing w:lineRule="auto" w:line="240"/>
        <w:ind w:left="284" w:hanging="0"/>
        <w:rPr/>
      </w:pPr>
      <w:r>
        <w:rPr/>
        <w:t>Previamente ao encaminhamento à cobrança judicial, a multa poderá ser recolhida administrativamente no prazo máximo de</w:t>
      </w:r>
      <w:r>
        <w:rPr>
          <w:color w:val="000000"/>
          <w:shd w:fill="FFFFFF" w:val="clear"/>
        </w:rPr>
        <w:t xml:space="preserve"> </w:t>
      </w:r>
      <w:r>
        <w:rPr>
          <w:b/>
          <w:color w:val="000000"/>
          <w:shd w:fill="FFFFFF" w:val="clear"/>
        </w:rPr>
        <w:t>10</w:t>
      </w:r>
      <w:r>
        <w:rPr>
          <w:b/>
          <w:i/>
          <w:iCs/>
          <w:color w:val="000000"/>
          <w:shd w:fill="FFFFFF" w:val="clear"/>
        </w:rPr>
        <w:t xml:space="preserve"> (dez)</w:t>
      </w:r>
      <w:r>
        <w:rPr>
          <w:i/>
          <w:iCs/>
          <w:color w:val="000000"/>
          <w:shd w:fill="FFFFFF" w:val="clear"/>
        </w:rPr>
        <w:t xml:space="preserve"> </w:t>
      </w:r>
      <w:r>
        <w:rPr>
          <w:color w:val="000000"/>
          <w:shd w:fill="FFFFFF" w:val="clear"/>
        </w:rPr>
        <w:t>dias,</w:t>
      </w:r>
      <w:r>
        <w:rPr/>
        <w:t xml:space="preserve"> a contar da data do recebimento da comunicação enviada pela autoridade competente.</w:t>
      </w:r>
      <w:bookmarkStart w:id="3" w:name="_Hlk78351618"/>
      <w:bookmarkEnd w:id="3"/>
    </w:p>
    <w:p>
      <w:pPr>
        <w:pStyle w:val="Nivel2"/>
        <w:numPr>
          <w:ilvl w:val="1"/>
          <w:numId w:val="188"/>
        </w:numPr>
        <w:spacing w:lineRule="auto" w:line="240"/>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xml:space="preserve">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89"/>
        </w:numPr>
        <w:spacing w:lineRule="auto" w:line="240"/>
        <w:ind w:left="0" w:hanging="0"/>
        <w:rPr/>
      </w:pPr>
      <w:r>
        <w:rPr/>
        <w:t>Na aplicação das sanções serão considerados (</w:t>
      </w:r>
      <w:r>
        <w:fldChar w:fldCharType="begin"/>
      </w:r>
      <w:r>
        <w:rPr>
          <w:rStyle w:val="LinkdaInternet"/>
        </w:rPr>
        <w:instrText xml:space="preserve">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3"/>
        </w:numPr>
        <w:suppressAutoHyphens w:val="true"/>
        <w:spacing w:lineRule="auto" w:line="240" w:before="120" w:after="120"/>
        <w:ind w:left="284" w:hanging="0"/>
        <w:contextualSpacing/>
        <w:jc w:val="both"/>
        <w:rPr/>
      </w:pPr>
      <w:r>
        <w:rPr>
          <w:rFonts w:eastAsia="Arial" w:cs="Arial" w:ascii="Arial" w:hAnsi="Arial"/>
          <w:sz w:val="20"/>
          <w:szCs w:val="20"/>
        </w:rPr>
        <w:t>a natureza e a gravidade da infração cometida;</w:t>
      </w:r>
    </w:p>
    <w:p>
      <w:pPr>
        <w:pStyle w:val="Normal"/>
        <w:numPr>
          <w:ilvl w:val="0"/>
          <w:numId w:val="3"/>
        </w:numPr>
        <w:suppressAutoHyphens w:val="true"/>
        <w:spacing w:lineRule="auto" w:line="240" w:before="120" w:after="120"/>
        <w:ind w:left="284" w:hanging="0"/>
        <w:contextualSpacing/>
        <w:jc w:val="both"/>
        <w:rPr/>
      </w:pPr>
      <w:r>
        <w:rPr>
          <w:rFonts w:eastAsia="Arial" w:cs="Arial" w:ascii="Arial" w:hAnsi="Arial"/>
          <w:sz w:val="20"/>
          <w:szCs w:val="20"/>
        </w:rPr>
        <w:t>as peculiaridades do caso concreto;</w:t>
      </w:r>
    </w:p>
    <w:p>
      <w:pPr>
        <w:pStyle w:val="Normal"/>
        <w:numPr>
          <w:ilvl w:val="0"/>
          <w:numId w:val="3"/>
        </w:numPr>
        <w:suppressAutoHyphens w:val="true"/>
        <w:spacing w:lineRule="auto" w:line="240" w:before="120" w:after="120"/>
        <w:ind w:left="284" w:hanging="0"/>
        <w:contextualSpacing/>
        <w:jc w:val="both"/>
        <w:rPr/>
      </w:pPr>
      <w:r>
        <w:rPr>
          <w:rFonts w:eastAsia="Arial" w:cs="Arial" w:ascii="Arial" w:hAnsi="Arial"/>
          <w:sz w:val="20"/>
          <w:szCs w:val="20"/>
        </w:rPr>
        <w:t>as circunstâncias agravantes ou atenuantes;</w:t>
      </w:r>
    </w:p>
    <w:p>
      <w:pPr>
        <w:pStyle w:val="Normal"/>
        <w:numPr>
          <w:ilvl w:val="0"/>
          <w:numId w:val="3"/>
        </w:numPr>
        <w:suppressAutoHyphens w:val="true"/>
        <w:spacing w:lineRule="auto" w:line="240" w:before="120" w:after="120"/>
        <w:ind w:left="284" w:hanging="0"/>
        <w:contextualSpacing/>
        <w:jc w:val="both"/>
        <w:rPr/>
      </w:pPr>
      <w:r>
        <w:rPr>
          <w:rFonts w:eastAsia="Arial" w:cs="Arial" w:ascii="Arial" w:hAnsi="Arial"/>
          <w:sz w:val="20"/>
          <w:szCs w:val="20"/>
        </w:rPr>
        <w:t>os danos que dela provierem para o Contratante;</w:t>
      </w:r>
    </w:p>
    <w:p>
      <w:pPr>
        <w:pStyle w:val="Normal"/>
        <w:numPr>
          <w:ilvl w:val="0"/>
          <w:numId w:val="3"/>
        </w:numPr>
        <w:suppressAutoHyphens w:val="true"/>
        <w:spacing w:lineRule="auto" w:line="240" w:before="120" w:after="120"/>
        <w:ind w:left="284" w:hanging="0"/>
        <w:contextualSpacing/>
        <w:jc w:val="both"/>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90"/>
        </w:numPr>
        <w:spacing w:lineRule="auto" w:line="240"/>
        <w:ind w:left="0" w:hanging="0"/>
        <w:rPr/>
      </w:pPr>
      <w:r>
        <w:rPr/>
        <w:t xml:space="preserve">Os atos previstos como infrações administrativas na </w:t>
      </w:r>
      <w:hyperlink r:id="rId6">
        <w:r>
          <w:rPr>
            <w:rStyle w:val="LinkdaInternet"/>
          </w:rPr>
          <w:t>Lei nº 14.133, de 2021</w:t>
        </w:r>
      </w:hyperlink>
      <w:r>
        <w:rPr/>
        <w:t xml:space="preserve">, ou em outras leis de licitações e contratos da Administração Pública que também sejam tipificados como atos lesivos na </w:t>
      </w:r>
      <w:hyperlink r:id="rId7">
        <w:r>
          <w:rPr>
            <w:rStyle w:val="LinkdaInternet"/>
          </w:rPr>
          <w:t>Lei nº 12.846, de 2013</w:t>
        </w:r>
      </w:hyperlink>
      <w:r>
        <w:rPr/>
        <w:t>, serão apurados e julgados conjuntamente, nos mesmos autos, observados o rito procedimental e autoridade competente definidos na referida Lei (</w:t>
      </w:r>
      <w:hyperlink r:id="rId8">
        <w:r>
          <w:rPr>
            <w:rStyle w:val="LinkdaInternet"/>
          </w:rPr>
          <w:t>art. 159</w:t>
        </w:r>
      </w:hyperlink>
      <w:r>
        <w:rPr/>
        <w:t>).</w:t>
      </w:r>
    </w:p>
    <w:p>
      <w:pPr>
        <w:pStyle w:val="Nivel2"/>
        <w:numPr>
          <w:ilvl w:val="1"/>
          <w:numId w:val="191"/>
        </w:numPr>
        <w:spacing w:lineRule="auto" w:line="240"/>
        <w:ind w:left="0" w:hanging="0"/>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xml:space="preserve">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192"/>
        </w:numPr>
        <w:spacing w:lineRule="auto" w:line="240"/>
        <w:ind w:left="0" w:hanging="0"/>
        <w:rPr/>
      </w:pPr>
      <w:r>
        <w:rPr/>
        <w:t xml:space="preserve"> </w:t>
      </w:r>
      <w: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xml:space="preserve">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193"/>
        </w:numPr>
        <w:spacing w:lineRule="auto" w:line="240"/>
        <w:ind w:left="0" w:hanging="0"/>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xml:space="preserve"> HYPERLINK "http://www.planalto.gov.br/ccivil_03/_ato2019-2022/2021/lei/L14133.htm" \l "163"</w:instrText>
      </w:r>
      <w:r>
        <w:rPr>
          <w:rStyle w:val="LinkdaInternet"/>
        </w:rPr>
        <w:fldChar w:fldCharType="separate"/>
      </w:r>
      <w:r>
        <w:rPr>
          <w:rStyle w:val="LinkdaInternet"/>
        </w:rPr>
        <w:t>art. 163 da Lei nº 14.133/21</w:t>
      </w:r>
      <w:r>
        <w:rPr>
          <w:rStyle w:val="LinkdaInternet"/>
        </w:rPr>
        <w:fldChar w:fldCharType="end"/>
      </w:r>
      <w:r>
        <w:rPr/>
        <w:t>.</w:t>
      </w:r>
    </w:p>
    <w:p>
      <w:pPr>
        <w:pStyle w:val="Nivel2"/>
        <w:numPr>
          <w:ilvl w:val="1"/>
          <w:numId w:val="194"/>
        </w:numPr>
        <w:spacing w:lineRule="auto" w:line="240"/>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Pr>
          <w:t>Normativa SEGES/ME nº 26, de 13 de abril de 2022</w:t>
        </w:r>
      </w:hyperlink>
      <w:r>
        <w:rPr/>
        <w:t xml:space="preserve">. </w:t>
      </w:r>
    </w:p>
    <w:p>
      <w:pPr>
        <w:pStyle w:val="Nivel01"/>
        <w:numPr>
          <w:ilvl w:val="0"/>
          <w:numId w:val="195"/>
        </w:numPr>
        <w:spacing w:lineRule="auto" w:line="240"/>
        <w:ind w:left="0" w:hanging="0"/>
        <w:rPr/>
      </w:pPr>
      <w:r>
        <w:rPr/>
        <w:t>CLÁUSULA DÉCIMA SEGUNDA– DA EXTINÇÃO CONTRATUAL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numPr>
          <w:ilvl w:val="1"/>
          <w:numId w:val="196"/>
        </w:numPr>
        <w:spacing w:lineRule="auto" w:line="240"/>
        <w:ind w:left="0" w:hanging="0"/>
        <w:rPr/>
      </w:pPr>
      <w:r>
        <w:rPr>
          <w:color w:val="000000"/>
        </w:rPr>
        <w:t>O cont</w:t>
      </w:r>
      <w:r>
        <w:rPr>
          <w:color w:val="000000"/>
          <w:shd w:fill="FFFFFF" w:val="clear"/>
        </w:rPr>
        <w:t>rato será extinto</w:t>
      </w:r>
      <w:r>
        <w:rPr>
          <w:i w:val="false"/>
          <w:color w:val="000000"/>
          <w:shd w:fill="FFFFFF" w:val="clear"/>
        </w:rPr>
        <w:t xml:space="preserve"> </w:t>
      </w:r>
      <w:r>
        <w:rPr>
          <w:color w:val="000000"/>
          <w:shd w:fill="FFFFFF" w:val="clear"/>
        </w:rPr>
        <w:t>quando cumpridas as obrigações de ambas as partes, ainda que isso ocorra antes do prazo estipulado para tan</w:t>
      </w:r>
      <w:r>
        <w:rPr>
          <w:color w:val="000000"/>
        </w:rPr>
        <w:t>to.</w:t>
      </w:r>
    </w:p>
    <w:p>
      <w:pPr>
        <w:pStyle w:val="Nvel2Red"/>
        <w:numPr>
          <w:ilvl w:val="1"/>
          <w:numId w:val="197"/>
        </w:numPr>
        <w:spacing w:lineRule="auto" w:line="240"/>
        <w:ind w:left="0" w:hanging="0"/>
        <w:rPr/>
      </w:pPr>
      <w:r>
        <w:rPr>
          <w:color w:val="000000"/>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198"/>
        </w:numPr>
        <w:spacing w:lineRule="auto" w:line="240"/>
        <w:ind w:left="284" w:hanging="0"/>
        <w:rPr/>
      </w:pPr>
      <w:r>
        <w:rPr>
          <w:color w:val="000000"/>
        </w:rPr>
        <w:t>Quando a não conclusão do contrato referida no item anterior decorrer de culpa do contratado:</w:t>
      </w:r>
    </w:p>
    <w:p>
      <w:pPr>
        <w:pStyle w:val="ListParagraph"/>
        <w:numPr>
          <w:ilvl w:val="0"/>
          <w:numId w:val="4"/>
        </w:numPr>
        <w:suppressAutoHyphens w:val="true"/>
        <w:spacing w:lineRule="auto" w:line="240" w:before="120" w:after="120"/>
        <w:ind w:left="567" w:hanging="0"/>
        <w:contextualSpacing/>
        <w:jc w:val="both"/>
        <w:rPr/>
      </w:pPr>
      <w:r>
        <w:rPr>
          <w:rFonts w:eastAsia="Arial" w:cs="Arial" w:ascii="Arial" w:hAnsi="Arial"/>
          <w:i/>
          <w:iCs/>
          <w:color w:val="000000"/>
          <w:sz w:val="20"/>
          <w:szCs w:val="20"/>
        </w:rPr>
        <w:t>ficará ele constituído em mora, sendo-lhe aplicáveis as respectivas sanções administrativas; e</w:t>
      </w:r>
    </w:p>
    <w:p>
      <w:pPr>
        <w:pStyle w:val="ListParagraph"/>
        <w:numPr>
          <w:ilvl w:val="0"/>
          <w:numId w:val="4"/>
        </w:numPr>
        <w:suppressAutoHyphens w:val="true"/>
        <w:spacing w:lineRule="auto" w:line="240" w:before="120" w:after="120"/>
        <w:ind w:left="567" w:hanging="0"/>
        <w:contextualSpacing/>
        <w:jc w:val="both"/>
        <w:rPr/>
      </w:pPr>
      <w:r>
        <w:rPr>
          <w:rFonts w:eastAsia="Arial" w:cs="Arial" w:ascii="Arial" w:hAnsi="Arial"/>
          <w:i/>
          <w:iCs/>
          <w:color w:val="000000"/>
          <w:sz w:val="20"/>
          <w:szCs w:val="20"/>
        </w:rPr>
        <w:t>poderá a Administração optar pela extinção do contrato e, nesse caso, adotará as medidas admitidas em lei para a continuidade da execução contratual.</w:t>
      </w:r>
    </w:p>
    <w:p>
      <w:pPr>
        <w:pStyle w:val="Nivel2"/>
        <w:numPr>
          <w:ilvl w:val="1"/>
          <w:numId w:val="199"/>
        </w:numPr>
        <w:spacing w:lineRule="auto" w:line="240"/>
        <w:ind w:left="0" w:hanging="0"/>
        <w:rPr/>
      </w:pPr>
      <w:r>
        <w:rPr>
          <w:shd w:fill="FFFFFF" w:val="clear"/>
        </w:rPr>
        <w:t xml:space="preserve">O contrato poderá ser extinto antes de cumpridas as obrigações nele estipuladas, ou antes do prazo nele fixado, por algum dos motivos previstos no </w:t>
      </w:r>
      <w:r>
        <w:fldChar w:fldCharType="begin"/>
      </w:r>
      <w:r>
        <w:rPr>
          <w:rStyle w:val="LinkdaInternet"/>
          <w:shd w:fill="FFFFFF" w:val="clear"/>
        </w:rPr>
        <w:instrText xml:space="preserve"> HYPERLINK "http://www.planalto.gov.br/ccivil_03/_ato2019-2022/2021/lei/L14133.htm" \l "art137"</w:instrText>
      </w:r>
      <w:r>
        <w:rPr>
          <w:rStyle w:val="LinkdaInternet"/>
          <w:shd w:fill="FFFFFF" w:val="clear"/>
        </w:rPr>
        <w:fldChar w:fldCharType="separate"/>
      </w:r>
      <w:r>
        <w:rPr>
          <w:rStyle w:val="LinkdaInternet"/>
          <w:shd w:fill="FFFFFF" w:val="clear"/>
        </w:rPr>
        <w:t>artigo 137 da Lei nº 14.133/21</w:t>
      </w:r>
      <w:r>
        <w:rPr>
          <w:rStyle w:val="LinkdaInternet"/>
          <w:shd w:fill="FFFFFF" w:val="clear"/>
        </w:rPr>
        <w:fldChar w:fldCharType="end"/>
      </w:r>
      <w:r>
        <w:rPr>
          <w:shd w:fill="FFFFFF" w:val="clear"/>
        </w:rPr>
        <w:t xml:space="preserve">, bem como amigavelmente, </w:t>
      </w:r>
      <w:r>
        <w:rPr>
          <w:color w:val="000000" w:themeColor="text1"/>
          <w:shd w:fill="FFFFFF" w:val="clear"/>
        </w:rPr>
        <w:t>assegurados o contraditório e a ampla defesa</w:t>
      </w:r>
      <w:r>
        <w:rPr>
          <w:shd w:fill="FFFFFF" w:val="clear"/>
        </w:rPr>
        <w:t>.</w:t>
      </w:r>
    </w:p>
    <w:p>
      <w:pPr>
        <w:pStyle w:val="Nivel3"/>
        <w:numPr>
          <w:ilvl w:val="2"/>
          <w:numId w:val="200"/>
        </w:numPr>
        <w:spacing w:lineRule="auto" w:line="240"/>
        <w:ind w:left="284" w:hanging="0"/>
        <w:rPr/>
      </w:pPr>
      <w:r>
        <w:rPr>
          <w:shd w:fill="FFFFFF" w:val="clear"/>
        </w:rPr>
        <w:t xml:space="preserve">Nesta hipótese, aplicam-se também os </w:t>
      </w:r>
      <w:r>
        <w:fldChar w:fldCharType="begin"/>
      </w:r>
      <w:r>
        <w:rPr>
          <w:rStyle w:val="LinkdaInternet"/>
          <w:shd w:fill="FFFFFF" w:val="clear"/>
        </w:rPr>
        <w:instrText xml:space="preserve"> HYPERLINK "http://www.planalto.gov.br/ccivil_03/_ato2019-2022/2021/lei/L14133.htm" \l "art138"</w:instrText>
      </w:r>
      <w:r>
        <w:rPr>
          <w:rStyle w:val="LinkdaInternet"/>
          <w:shd w:fill="FFFFFF" w:val="clear"/>
        </w:rPr>
        <w:fldChar w:fldCharType="separate"/>
      </w:r>
      <w:r>
        <w:rPr>
          <w:rStyle w:val="LinkdaInternet"/>
          <w:shd w:fill="FFFFFF" w:val="clear"/>
        </w:rPr>
        <w:t>artigos 138 e 139 da mesma Lei</w:t>
      </w:r>
      <w:r>
        <w:rPr>
          <w:rStyle w:val="LinkdaInternet"/>
          <w:shd w:fill="FFFFFF" w:val="clear"/>
        </w:rPr>
        <w:fldChar w:fldCharType="end"/>
      </w:r>
      <w:r>
        <w:rPr>
          <w:shd w:fill="FFFFFF" w:val="clear"/>
        </w:rPr>
        <w:t>.</w:t>
      </w:r>
    </w:p>
    <w:p>
      <w:pPr>
        <w:pStyle w:val="Nivel3"/>
        <w:numPr>
          <w:ilvl w:val="2"/>
          <w:numId w:val="201"/>
        </w:numPr>
        <w:spacing w:lineRule="auto" w:line="240"/>
        <w:ind w:left="284" w:hanging="0"/>
        <w:rPr/>
      </w:pPr>
      <w:r>
        <w:rPr>
          <w:shd w:fill="FFFFFF" w:val="clear"/>
        </w:rPr>
        <w:t>A alteração social ou a modificação da finalidade ou da estrutura da empresa não ensejará a extinção se não restringir sua capacidade de concluir o contrato.</w:t>
      </w:r>
    </w:p>
    <w:p>
      <w:pPr>
        <w:pStyle w:val="Nivel4"/>
        <w:numPr>
          <w:ilvl w:val="3"/>
          <w:numId w:val="202"/>
        </w:numPr>
        <w:spacing w:lineRule="auto" w:line="240"/>
        <w:ind w:left="567" w:hanging="0"/>
        <w:rPr/>
      </w:pPr>
      <w:r>
        <w:rPr>
          <w:color w:val="000000" w:themeColor="text1"/>
          <w:shd w:fill="FFFFFF" w:val="clear"/>
        </w:rPr>
        <w:t xml:space="preserve">Se a </w:t>
      </w:r>
      <w:r>
        <w:rPr>
          <w:shd w:fill="FFFFFF" w:val="clear"/>
        </w:rPr>
        <w:t>operação</w:t>
      </w:r>
      <w:r>
        <w:rPr>
          <w:color w:val="000000" w:themeColor="text1"/>
          <w:shd w:fill="FFFFFF" w:val="clear"/>
        </w:rPr>
        <w:t xml:space="preserve"> </w:t>
      </w:r>
      <w:r>
        <w:rPr>
          <w:shd w:fill="FFFFFF" w:val="clear"/>
        </w:rPr>
        <w:t>implicar mudança da pessoa jurídica contratada, deverá ser formalizado termo aditivo para alteração subjetiva.</w:t>
      </w:r>
    </w:p>
    <w:p>
      <w:pPr>
        <w:pStyle w:val="Nivel2"/>
        <w:numPr>
          <w:ilvl w:val="1"/>
          <w:numId w:val="203"/>
        </w:numPr>
        <w:spacing w:lineRule="auto" w:line="240"/>
        <w:ind w:left="0" w:hanging="0"/>
        <w:rPr/>
      </w:pPr>
      <w:r>
        <w:rPr>
          <w:shd w:fill="FFFFFF" w:val="clear"/>
        </w:rPr>
        <w:t>O termo de extinção, sempre que p</w:t>
      </w:r>
      <w:r>
        <w:rPr/>
        <w:t>ossível, será precedido:</w:t>
      </w:r>
    </w:p>
    <w:p>
      <w:pPr>
        <w:pStyle w:val="Nivel3"/>
        <w:numPr>
          <w:ilvl w:val="2"/>
          <w:numId w:val="204"/>
        </w:numPr>
        <w:spacing w:lineRule="auto" w:line="240"/>
        <w:ind w:left="284" w:hanging="0"/>
        <w:rPr/>
      </w:pPr>
      <w:r>
        <w:rPr/>
        <w:t>Balanço dos eventos contratuais já cumpridos ou parcialmente cumpridos;</w:t>
      </w:r>
    </w:p>
    <w:p>
      <w:pPr>
        <w:pStyle w:val="Nivel3"/>
        <w:numPr>
          <w:ilvl w:val="2"/>
          <w:numId w:val="205"/>
        </w:numPr>
        <w:spacing w:lineRule="auto" w:line="240"/>
        <w:ind w:left="284" w:hanging="0"/>
        <w:rPr/>
      </w:pPr>
      <w:r>
        <w:rPr/>
        <w:t>Relação dos pagamentos já efetuados e ainda devidos;</w:t>
      </w:r>
    </w:p>
    <w:p>
      <w:pPr>
        <w:pStyle w:val="Nivel3"/>
        <w:numPr>
          <w:ilvl w:val="2"/>
          <w:numId w:val="206"/>
        </w:numPr>
        <w:spacing w:lineRule="auto" w:line="240"/>
        <w:ind w:left="284" w:hanging="0"/>
        <w:rPr/>
      </w:pPr>
      <w:r>
        <w:rPr/>
        <w:t>Indenizações e multas.</w:t>
      </w:r>
    </w:p>
    <w:p>
      <w:pPr>
        <w:pStyle w:val="Nivel2"/>
        <w:numPr>
          <w:ilvl w:val="1"/>
          <w:numId w:val="207"/>
        </w:numPr>
        <w:spacing w:lineRule="auto" w:line="240"/>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xml:space="preserve">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208"/>
        </w:numPr>
        <w:spacing w:lineRule="auto" w:line="240"/>
        <w:ind w:left="0" w:hanging="0"/>
        <w:rPr/>
      </w:pPr>
      <w:r>
        <w:rPr>
          <w:shd w:fill="FFFFFF"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09"/>
        </w:numPr>
        <w:spacing w:lineRule="auto" w:line="240"/>
        <w:ind w:left="0" w:hanging="0"/>
        <w:rPr/>
      </w:pPr>
      <w:r>
        <w:rPr/>
        <w:t>CLÁUSULA DÉCIMA TERCEIRA – DOTAÇÃO ORÇAMENTÁRIA (</w:t>
      </w:r>
      <w:r>
        <w:fldChar w:fldCharType="begin"/>
      </w:r>
      <w:r>
        <w:rPr>
          <w:rStyle w:val="LinkdaInternet"/>
        </w:rPr>
        <w:instrText xml:space="preserve">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210"/>
        </w:numPr>
        <w:spacing w:lineRule="auto" w:line="240"/>
        <w:ind w:left="0" w:hanging="0"/>
        <w:rPr/>
      </w:pPr>
      <w:r>
        <w:rPr/>
        <w:t>As despesas decorrentes da presente contratação correrão à conta de recursos específicos consignados no Orçamento Geral da União deste exercício, na dotação abaixo discriminada:</w:t>
      </w:r>
    </w:p>
    <w:p>
      <w:pPr>
        <w:pStyle w:val="Nivel3"/>
        <w:numPr>
          <w:ilvl w:val="2"/>
          <w:numId w:val="211"/>
        </w:numPr>
        <w:spacing w:lineRule="auto" w:line="240"/>
        <w:ind w:left="284" w:hanging="0"/>
        <w:rPr/>
      </w:pPr>
      <w:r>
        <w:rPr/>
        <w:t xml:space="preserve">Gestão/Unidade: </w:t>
      </w:r>
    </w:p>
    <w:p>
      <w:pPr>
        <w:pStyle w:val="Nivel3"/>
        <w:numPr>
          <w:ilvl w:val="2"/>
          <w:numId w:val="212"/>
        </w:numPr>
        <w:spacing w:lineRule="auto" w:line="240"/>
        <w:ind w:left="284" w:hanging="0"/>
        <w:rPr/>
      </w:pPr>
      <w:r>
        <w:rPr/>
        <w:t xml:space="preserve">Fonte de Recursos:  </w:t>
      </w:r>
    </w:p>
    <w:p>
      <w:pPr>
        <w:pStyle w:val="Nivel3"/>
        <w:numPr>
          <w:ilvl w:val="2"/>
          <w:numId w:val="213"/>
        </w:numPr>
        <w:spacing w:lineRule="auto" w:line="240"/>
        <w:ind w:left="284" w:hanging="0"/>
        <w:rPr/>
      </w:pPr>
      <w:r>
        <w:rPr/>
        <w:t xml:space="preserve">Programa de Trabalho: </w:t>
      </w:r>
    </w:p>
    <w:p>
      <w:pPr>
        <w:pStyle w:val="Nivel3"/>
        <w:numPr>
          <w:ilvl w:val="2"/>
          <w:numId w:val="214"/>
        </w:numPr>
        <w:spacing w:lineRule="auto" w:line="240"/>
        <w:ind w:left="284" w:hanging="0"/>
        <w:rPr/>
      </w:pPr>
      <w:r>
        <w:rPr/>
        <w:t xml:space="preserve">Elemento de Despesa: </w:t>
      </w:r>
    </w:p>
    <w:p>
      <w:pPr>
        <w:pStyle w:val="Nivel3"/>
        <w:numPr>
          <w:ilvl w:val="2"/>
          <w:numId w:val="215"/>
        </w:numPr>
        <w:spacing w:lineRule="auto" w:line="240"/>
        <w:ind w:left="284" w:hanging="0"/>
        <w:rPr/>
      </w:pPr>
      <w:r>
        <w:rPr/>
        <w:t xml:space="preserve">Plano Interno: </w:t>
      </w:r>
    </w:p>
    <w:p>
      <w:pPr>
        <w:pStyle w:val="Nivel3"/>
        <w:numPr>
          <w:ilvl w:val="2"/>
          <w:numId w:val="216"/>
        </w:numPr>
        <w:spacing w:lineRule="auto" w:line="240"/>
        <w:ind w:left="284" w:hanging="0"/>
        <w:rPr/>
      </w:pPr>
      <w:r>
        <w:rPr/>
        <w:t>Nota de Empenho:</w:t>
      </w:r>
    </w:p>
    <w:p>
      <w:pPr>
        <w:pStyle w:val="Nivel01"/>
        <w:numPr>
          <w:ilvl w:val="0"/>
          <w:numId w:val="217"/>
        </w:numPr>
        <w:spacing w:lineRule="auto" w:line="240"/>
        <w:ind w:left="0" w:hanging="0"/>
        <w:rPr/>
      </w:pPr>
      <w:r>
        <w:rPr>
          <w:color w:val="000000"/>
        </w:rPr>
        <w:t>CLÁUSULA DÉCIMA QUARTA – DOS CASOS OMISSOS (</w:t>
      </w:r>
      <w:r>
        <w:fldChar w:fldCharType="begin"/>
      </w:r>
      <w:r>
        <w:rPr>
          <w:rStyle w:val="LinkdaInternet"/>
          <w:color w:val="000000"/>
        </w:rPr>
        <w:instrText xml:space="preserve"> HYPERLINK "http://www.planalto.gov.br/ccivil_03/_ato2019-2022/2021/lei/L14133.htm" \l "art92"</w:instrText>
      </w:r>
      <w:r>
        <w:rPr>
          <w:rStyle w:val="LinkdaInternet"/>
          <w:color w:val="000000"/>
        </w:rPr>
        <w:fldChar w:fldCharType="separate"/>
      </w:r>
      <w:r>
        <w:rPr>
          <w:rStyle w:val="LinkdaInternet"/>
          <w:color w:val="000000"/>
        </w:rPr>
        <w:t>art. 92, III</w:t>
      </w:r>
      <w:r>
        <w:rPr>
          <w:rStyle w:val="LinkdaInternet"/>
          <w:color w:val="000000"/>
        </w:rPr>
        <w:fldChar w:fldCharType="end"/>
      </w:r>
      <w:r>
        <w:rPr>
          <w:color w:val="000000"/>
        </w:rPr>
        <w:t>)</w:t>
      </w:r>
    </w:p>
    <w:p>
      <w:pPr>
        <w:pStyle w:val="Nivel2"/>
        <w:numPr>
          <w:ilvl w:val="1"/>
          <w:numId w:val="218"/>
        </w:numPr>
        <w:spacing w:lineRule="auto" w:line="240"/>
        <w:ind w:left="0" w:hanging="0"/>
        <w:rPr/>
      </w:pPr>
      <w:r>
        <w:rPr>
          <w:color w:val="000000"/>
        </w:rPr>
        <w:t xml:space="preserve">Os casos omissos serão decididos pelo contratante, segundo as disposições contidas na Lei </w:t>
      </w:r>
      <w:hyperlink r:id="rId10">
        <w:r>
          <w:rPr>
            <w:rStyle w:val="LinkdaInternet"/>
            <w:color w:val="000000"/>
          </w:rPr>
          <w:t>nº 14.133, de 2021</w:t>
        </w:r>
      </w:hyperlink>
      <w:r>
        <w:rPr>
          <w:color w:val="000000"/>
        </w:rPr>
        <w:t xml:space="preserve">, e demais normas federais aplicáveis e, subsidiariamente, segundo as disposições contidas na </w:t>
      </w:r>
      <w:hyperlink r:id="rId11">
        <w:r>
          <w:rPr>
            <w:rStyle w:val="LinkdaInternet"/>
            <w:color w:val="000000"/>
          </w:rPr>
          <w:t>Lei nº 8.078, de 1990 – Código de Defesa do Consumidor</w:t>
        </w:r>
      </w:hyperlink>
      <w:r>
        <w:rPr>
          <w:color w:val="000000"/>
        </w:rPr>
        <w:t xml:space="preserve"> – e normas e princípios gerais dos contratos.</w:t>
      </w:r>
    </w:p>
    <w:p>
      <w:pPr>
        <w:pStyle w:val="Nivel01"/>
        <w:numPr>
          <w:ilvl w:val="0"/>
          <w:numId w:val="219"/>
        </w:numPr>
        <w:spacing w:lineRule="auto" w:line="240"/>
        <w:ind w:left="0" w:hanging="0"/>
        <w:rPr/>
      </w:pPr>
      <w:r>
        <w:rPr>
          <w:color w:val="000000"/>
        </w:rPr>
        <w:t>CLÁUSULA DÉCIMA QUINTA – ALTERAÇÕES</w:t>
      </w:r>
    </w:p>
    <w:p>
      <w:pPr>
        <w:pStyle w:val="Nivel2"/>
        <w:numPr>
          <w:ilvl w:val="1"/>
          <w:numId w:val="220"/>
        </w:numPr>
        <w:spacing w:lineRule="auto" w:line="240"/>
        <w:ind w:left="0" w:hanging="0"/>
        <w:rPr/>
      </w:pPr>
      <w:r>
        <w:rPr>
          <w:color w:val="000000"/>
        </w:rPr>
        <w:t xml:space="preserve">Eventuais alterações contratuais reger-se-ão pela disciplina dos </w:t>
      </w:r>
      <w:r>
        <w:fldChar w:fldCharType="begin"/>
      </w:r>
      <w:r>
        <w:rPr>
          <w:rStyle w:val="LinkdaInternet"/>
          <w:color w:val="000000"/>
        </w:rPr>
        <w:instrText xml:space="preserve"> HYPERLINK "http://www.planalto.gov.br/ccivil_03/_ato2019-2022/2021/lei/L14133.htm" \l "art124"</w:instrText>
      </w:r>
      <w:r>
        <w:rPr>
          <w:rStyle w:val="LinkdaInternet"/>
          <w:color w:val="000000"/>
        </w:rPr>
        <w:fldChar w:fldCharType="separate"/>
      </w:r>
      <w:r>
        <w:rPr>
          <w:rStyle w:val="LinkdaInternet"/>
          <w:color w:val="000000"/>
        </w:rPr>
        <w:t>arts. 124 e seguintes da Lei nº 14.133, de 2021</w:t>
      </w:r>
      <w:r>
        <w:rPr>
          <w:rStyle w:val="LinkdaInternet"/>
          <w:color w:val="000000"/>
        </w:rPr>
        <w:fldChar w:fldCharType="end"/>
      </w:r>
      <w:r>
        <w:rPr>
          <w:color w:val="000000"/>
        </w:rPr>
        <w:t>.</w:t>
      </w:r>
    </w:p>
    <w:p>
      <w:pPr>
        <w:pStyle w:val="Nivel2"/>
        <w:numPr>
          <w:ilvl w:val="1"/>
          <w:numId w:val="221"/>
        </w:numPr>
        <w:spacing w:lineRule="auto" w:line="240"/>
        <w:ind w:left="0" w:hanging="0"/>
        <w:rPr/>
      </w:pPr>
      <w:r>
        <w:rPr>
          <w:color w:val="000000"/>
        </w:rPr>
        <w:t>O contratado é obrigado a aceitar, nas mesmas condições contratuai</w:t>
      </w:r>
      <w:r>
        <w:rPr/>
        <w:t>s, os acréscimos ou supressões que se fizerem necessários, até o limite de 25% (vinte e cinco por cento) do valor inicial atualizado do contrato.</w:t>
      </w:r>
    </w:p>
    <w:p>
      <w:pPr>
        <w:pStyle w:val="Nivel2"/>
        <w:numPr>
          <w:ilvl w:val="1"/>
          <w:numId w:val="222"/>
        </w:numPr>
        <w:spacing w:lineRule="auto" w:line="240"/>
        <w:ind w:left="0" w:hanging="0"/>
        <w:rPr/>
      </w:pPr>
      <w:r>
        <w:rPr>
          <w:color w:val="000000"/>
          <w:shd w:fill="FFFFFF"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23"/>
        </w:numPr>
        <w:spacing w:lineRule="auto" w:line="240"/>
        <w:ind w:left="0" w:hanging="0"/>
        <w:rPr/>
      </w:pPr>
      <w:r>
        <w:rPr>
          <w:color w:val="000000"/>
          <w:shd w:fill="FFFFFF" w:val="clear"/>
        </w:rPr>
        <w:t xml:space="preserve">Registros que não caracterizam alteração do contrato podem ser realizados por simples apostila, dispensada a celebração de termo aditivo, na forma do </w:t>
      </w:r>
      <w:r>
        <w:fldChar w:fldCharType="begin"/>
      </w:r>
      <w:r>
        <w:rPr>
          <w:rStyle w:val="LinkdaInternet"/>
          <w:shd w:fill="FFFFFF" w:val="clear"/>
          <w:color w:val="000000"/>
        </w:rPr>
        <w:instrText xml:space="preserve"> HYPERLINK "http://www.planalto.gov.br/ccivil_03/_ato2019-2022/2021/lei/L14133.htm" \l "art136"</w:instrText>
      </w:r>
      <w:r>
        <w:rPr>
          <w:rStyle w:val="LinkdaInternet"/>
          <w:shd w:fill="FFFFFF" w:val="clear"/>
          <w:color w:val="000000"/>
        </w:rPr>
        <w:fldChar w:fldCharType="separate"/>
      </w:r>
      <w:r>
        <w:rPr>
          <w:rStyle w:val="LinkdaInternet"/>
          <w:color w:val="000000"/>
          <w:shd w:fill="FFFFFF" w:val="clear"/>
        </w:rPr>
        <w:t>art. 136 da Lei nº 14.133, de 2021</w:t>
      </w:r>
      <w:r>
        <w:rPr>
          <w:rStyle w:val="LinkdaInternet"/>
          <w:shd w:fill="FFFFFF" w:val="clear"/>
          <w:color w:val="000000"/>
        </w:rPr>
        <w:fldChar w:fldCharType="end"/>
      </w:r>
      <w:r>
        <w:rPr>
          <w:color w:val="000000"/>
          <w:shd w:fill="FFFFFF" w:val="clear"/>
        </w:rPr>
        <w:t>.</w:t>
      </w:r>
    </w:p>
    <w:p>
      <w:pPr>
        <w:pStyle w:val="Nivel01"/>
        <w:numPr>
          <w:ilvl w:val="0"/>
          <w:numId w:val="224"/>
        </w:numPr>
        <w:spacing w:lineRule="auto" w:line="240"/>
        <w:ind w:left="0" w:hanging="0"/>
        <w:rPr/>
      </w:pPr>
      <w:r>
        <w:rPr>
          <w:color w:val="000000"/>
          <w:shd w:fill="FFFFFF" w:val="clear"/>
        </w:rPr>
        <w:t>CLÁUSULA DÉCIMA SEXTA – PUBLICAÇÃO</w:t>
      </w:r>
    </w:p>
    <w:p>
      <w:pPr>
        <w:pStyle w:val="Nivel2"/>
        <w:numPr>
          <w:ilvl w:val="1"/>
          <w:numId w:val="225"/>
        </w:numPr>
        <w:spacing w:lineRule="auto" w:line="240"/>
        <w:ind w:left="0" w:hanging="0"/>
        <w:rPr/>
      </w:pPr>
      <w:r>
        <w:rPr>
          <w:color w:val="000000"/>
          <w:shd w:fill="FFFFFF" w:val="clear"/>
        </w:rPr>
        <w:t xml:space="preserve">Incumbirá ao contratante divulgar o presente instrumento no Portal Nacional de Contratações Públicas (PNCP), na forma prevista no </w:t>
      </w:r>
      <w:r>
        <w:fldChar w:fldCharType="begin"/>
      </w:r>
      <w:r>
        <w:rPr>
          <w:rStyle w:val="LinkdaInternet"/>
          <w:shd w:fill="FFFFFF" w:val="clear"/>
          <w:color w:val="000000"/>
        </w:rPr>
        <w:instrText xml:space="preserve"> HYPERLINK "http://www.planalto.gov.br/ccivil_03/_ato2019-2022/2021/lei/L14133.htm" \l "art94"</w:instrText>
      </w:r>
      <w:r>
        <w:rPr>
          <w:rStyle w:val="LinkdaInternet"/>
          <w:shd w:fill="FFFFFF" w:val="clear"/>
          <w:color w:val="000000"/>
        </w:rPr>
        <w:fldChar w:fldCharType="separate"/>
      </w:r>
      <w:r>
        <w:rPr>
          <w:rStyle w:val="LinkdaInternet"/>
          <w:color w:val="000000"/>
          <w:shd w:fill="FFFFFF" w:val="clear"/>
        </w:rPr>
        <w:t>art. 94 da Lei 14.133, de 2021</w:t>
      </w:r>
      <w:r>
        <w:rPr>
          <w:rStyle w:val="LinkdaInternet"/>
          <w:shd w:fill="FFFFFF" w:val="clear"/>
          <w:color w:val="000000"/>
        </w:rPr>
        <w:fldChar w:fldCharType="end"/>
      </w:r>
      <w:r>
        <w:rPr>
          <w:color w:val="000000"/>
          <w:shd w:fill="FFFFFF" w:val="clear"/>
        </w:rPr>
        <w:t xml:space="preserve">, bem como no respectivo sítio oficial na Internet, em atenção ao art. 91, </w:t>
      </w:r>
      <w:r>
        <w:rPr>
          <w:i/>
          <w:color w:val="000000"/>
          <w:shd w:fill="FFFFFF" w:val="clear"/>
        </w:rPr>
        <w:t>caput,</w:t>
      </w:r>
      <w:r>
        <w:rPr>
          <w:color w:val="000000"/>
          <w:shd w:fill="FFFFFF" w:val="clear"/>
        </w:rPr>
        <w:t xml:space="preserve"> da Lei n.º 14.133, de 2021, e ao </w:t>
      </w:r>
      <w:r>
        <w:fldChar w:fldCharType="begin"/>
      </w:r>
      <w:r>
        <w:rPr>
          <w:rStyle w:val="LinkdaInternet"/>
          <w:shd w:fill="FFFFFF" w:val="clear"/>
          <w:color w:val="000000"/>
        </w:rPr>
        <w:instrText xml:space="preserve"> HYPERLINK "https://www.planalto.gov.br/ccivil_03/_ato2011-2014/2011/lei/l12527.htm" \l "art8§2"</w:instrText>
      </w:r>
      <w:r>
        <w:rPr>
          <w:rStyle w:val="LinkdaInternet"/>
          <w:shd w:fill="FFFFFF" w:val="clear"/>
          <w:color w:val="000000"/>
        </w:rPr>
        <w:fldChar w:fldCharType="separate"/>
      </w:r>
      <w:r>
        <w:rPr>
          <w:rStyle w:val="LinkdaInternet"/>
          <w:color w:val="000000"/>
          <w:shd w:fill="FFFFFF" w:val="clear"/>
        </w:rPr>
        <w:t>art. 8º, §2º, da Lei n. 12.527, de 2011</w:t>
      </w:r>
      <w:r>
        <w:rPr>
          <w:rStyle w:val="LinkdaInternet"/>
          <w:shd w:fill="FFFFFF" w:val="clear"/>
          <w:color w:val="000000"/>
        </w:rPr>
        <w:fldChar w:fldCharType="end"/>
      </w:r>
      <w:r>
        <w:rPr>
          <w:color w:val="000000"/>
          <w:shd w:fill="FFFFFF" w:val="clear"/>
        </w:rPr>
        <w:t xml:space="preserve">, c/c </w:t>
      </w:r>
      <w:r>
        <w:fldChar w:fldCharType="begin"/>
      </w:r>
      <w:r>
        <w:rPr>
          <w:rStyle w:val="LinkdaInternet"/>
          <w:shd w:fill="FFFFFF" w:val="clear"/>
          <w:color w:val="000000"/>
        </w:rPr>
        <w:instrText xml:space="preserve"> HYPERLINK "https://www.planalto.gov.br/ccivil_03/_ato2011-2014/2012/decreto/d7724.htm" \l "art7§3"</w:instrText>
      </w:r>
      <w:r>
        <w:rPr>
          <w:rStyle w:val="LinkdaInternet"/>
          <w:shd w:fill="FFFFFF" w:val="clear"/>
          <w:color w:val="000000"/>
        </w:rPr>
        <w:fldChar w:fldCharType="separate"/>
      </w:r>
      <w:r>
        <w:rPr>
          <w:rStyle w:val="LinkdaInternet"/>
          <w:color w:val="000000"/>
          <w:shd w:fill="FFFFFF" w:val="clear"/>
        </w:rPr>
        <w:t>art. 7º, §3º, inciso V, do Decreto n. 7.724, de 2012</w:t>
      </w:r>
      <w:r>
        <w:rPr>
          <w:rStyle w:val="LinkdaInternet"/>
          <w:shd w:fill="FFFFFF" w:val="clear"/>
          <w:color w:val="000000"/>
        </w:rPr>
        <w:fldChar w:fldCharType="end"/>
      </w:r>
      <w:r>
        <w:rPr>
          <w:color w:val="000000"/>
          <w:shd w:fill="FFFFFF" w:val="clear"/>
        </w:rPr>
        <w:t>.</w:t>
      </w:r>
    </w:p>
    <w:p>
      <w:pPr>
        <w:pStyle w:val="Nivel01"/>
        <w:numPr>
          <w:ilvl w:val="0"/>
          <w:numId w:val="226"/>
        </w:numPr>
        <w:spacing w:lineRule="auto" w:line="240"/>
        <w:ind w:left="0" w:hanging="0"/>
        <w:rPr/>
      </w:pPr>
      <w:r>
        <w:rPr>
          <w:color w:val="000000"/>
          <w:shd w:fill="FFFFFF" w:val="clear"/>
        </w:rPr>
        <w:t>CLÁUSULA DÉCIMA SÉTIMA– FORO (</w:t>
      </w:r>
      <w:r>
        <w:fldChar w:fldCharType="begin"/>
      </w:r>
      <w:r>
        <w:rPr>
          <w:rStyle w:val="LinkdaInternet"/>
          <w:shd w:fill="FFFFFF" w:val="clear"/>
          <w:color w:val="000000"/>
        </w:rPr>
        <w:instrText xml:space="preserve"> HYPERLINK "http://www.planalto.gov.br/ccivil_03/_ato2019-2022/2021/lei/L14133.htm" \l "art92§1"</w:instrText>
      </w:r>
      <w:r>
        <w:rPr>
          <w:rStyle w:val="LinkdaInternet"/>
          <w:shd w:fill="FFFFFF" w:val="clear"/>
          <w:color w:val="000000"/>
        </w:rPr>
        <w:fldChar w:fldCharType="separate"/>
      </w:r>
      <w:r>
        <w:rPr>
          <w:rStyle w:val="LinkdaInternet"/>
          <w:color w:val="000000"/>
          <w:shd w:fill="FFFFFF" w:val="clear"/>
        </w:rPr>
        <w:t>art. 92, §1º</w:t>
      </w:r>
      <w:r>
        <w:rPr>
          <w:rStyle w:val="LinkdaInternet"/>
          <w:shd w:fill="FFFFFF" w:val="clear"/>
          <w:color w:val="000000"/>
        </w:rPr>
        <w:fldChar w:fldCharType="end"/>
      </w:r>
      <w:r>
        <w:rPr>
          <w:color w:val="000000"/>
          <w:shd w:fill="FFFFFF" w:val="clear"/>
        </w:rPr>
        <w:t>)</w:t>
      </w:r>
    </w:p>
    <w:p>
      <w:pPr>
        <w:pStyle w:val="Nivel2"/>
        <w:numPr>
          <w:ilvl w:val="1"/>
          <w:numId w:val="227"/>
        </w:numPr>
        <w:spacing w:lineRule="auto" w:line="240"/>
        <w:ind w:left="0" w:hanging="0"/>
        <w:rPr/>
      </w:pPr>
      <w:r>
        <w:rPr>
          <w:color w:val="000000"/>
          <w:shd w:fill="FFFFFF" w:val="clear"/>
        </w:rPr>
        <w:t xml:space="preserve">Fica eleito o Foro da Justiça Federal em Salvador-BA, Seção Judiciária de Salvador para dirimir os litígios que decorrerem da execução deste Termo de Contrato que não puderem ser compostos pela conciliação, conforme </w:t>
      </w:r>
      <w:r>
        <w:fldChar w:fldCharType="begin"/>
      </w:r>
      <w:r>
        <w:rPr>
          <w:rStyle w:val="LinkdaInternet"/>
          <w:shd w:fill="FFFFFF" w:val="clear"/>
          <w:color w:val="000000"/>
        </w:rPr>
        <w:instrText xml:space="preserve"> HYPERLINK "http://www.planalto.gov.br/ccivil_03/_ato2019-2022/2021/lei/L14133.htm" \l "art92§1"</w:instrText>
      </w:r>
      <w:r>
        <w:rPr>
          <w:rStyle w:val="LinkdaInternet"/>
          <w:shd w:fill="FFFFFF" w:val="clear"/>
          <w:color w:val="000000"/>
        </w:rPr>
        <w:fldChar w:fldCharType="separate"/>
      </w:r>
      <w:r>
        <w:rPr>
          <w:rStyle w:val="LinkdaInternet"/>
          <w:color w:val="000000"/>
          <w:shd w:fill="FFFFFF" w:val="clear"/>
        </w:rPr>
        <w:t>art. 92, §1º, da Lei nº 14.133/21.</w:t>
      </w:r>
      <w:r>
        <w:rPr>
          <w:rStyle w:val="LinkdaInternet"/>
          <w:shd w:fill="FFFFFF" w:val="clear"/>
          <w:color w:val="000000"/>
        </w:rPr>
        <w:fldChar w:fldCharType="end"/>
      </w:r>
    </w:p>
    <w:p>
      <w:pPr>
        <w:pStyle w:val="Nivel2"/>
        <w:numPr>
          <w:ilvl w:val="0"/>
          <w:numId w:val="0"/>
        </w:numPr>
        <w:spacing w:lineRule="auto" w:line="240" w:before="120" w:after="288"/>
        <w:ind w:left="0" w:firstLine="567"/>
        <w:rPr>
          <w:i/>
          <w:i/>
          <w:iCs/>
        </w:rPr>
      </w:pPr>
      <w:r>
        <w:rPr>
          <w:i/>
          <w:iCs/>
        </w:rPr>
      </w:r>
    </w:p>
    <w:p>
      <w:pPr>
        <w:pStyle w:val="Nivel2"/>
        <w:numPr>
          <w:ilvl w:val="0"/>
          <w:numId w:val="0"/>
        </w:numPr>
        <w:spacing w:lineRule="auto" w:line="240" w:before="120" w:after="288"/>
        <w:ind w:left="0" w:firstLine="567"/>
        <w:rPr/>
      </w:pPr>
      <w:r>
        <w:rPr>
          <w:i/>
          <w:iCs/>
          <w:color w:val="000000"/>
        </w:rPr>
        <w:t>[Local], [dia] de [mês] de [ano].</w:t>
      </w:r>
    </w:p>
    <w:p>
      <w:pPr>
        <w:pStyle w:val="Normal"/>
        <w:spacing w:lineRule="auto" w:line="240" w:before="120" w:after="288"/>
        <w:ind w:firstLine="567"/>
        <w:jc w:val="center"/>
        <w:rPr/>
      </w:pPr>
      <w:r>
        <w:rPr>
          <w:rFonts w:cs="Arial" w:ascii="Arial" w:hAnsi="Arial"/>
          <w:bCs/>
          <w:sz w:val="20"/>
          <w:szCs w:val="20"/>
        </w:rPr>
        <w:t>Representante legal do CONTRATANTE</w:t>
      </w:r>
    </w:p>
    <w:p>
      <w:pPr>
        <w:pStyle w:val="Normal"/>
        <w:spacing w:lineRule="auto" w:line="240" w:before="120" w:after="288"/>
        <w:ind w:firstLine="567"/>
        <w:jc w:val="center"/>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240" w:before="120" w:after="288"/>
        <w:ind w:firstLine="567"/>
        <w:jc w:val="both"/>
        <w:rPr/>
      </w:pPr>
      <w:r>
        <w:rPr>
          <w:rFonts w:cs="Arial" w:ascii="Arial" w:hAnsi="Arial"/>
          <w:i/>
          <w:iCs/>
          <w:color w:val="FF0000"/>
          <w:sz w:val="20"/>
          <w:szCs w:val="20"/>
        </w:rPr>
        <w:t>TESTEMUNHAS:</w:t>
      </w:r>
    </w:p>
    <w:p>
      <w:pPr>
        <w:pStyle w:val="Normal"/>
        <w:spacing w:lineRule="auto" w:line="240" w:before="120" w:after="288"/>
        <w:ind w:firstLine="567"/>
        <w:rPr/>
      </w:pPr>
      <w:r>
        <w:rPr>
          <w:rFonts w:cs="Arial" w:ascii="Arial" w:hAnsi="Arial"/>
          <w:i/>
          <w:iCs/>
          <w:color w:val="FF0000"/>
          <w:sz w:val="20"/>
          <w:szCs w:val="20"/>
        </w:rPr>
        <w:t>1-</w:t>
      </w:r>
    </w:p>
    <w:p>
      <w:pPr>
        <w:pStyle w:val="Normal"/>
        <w:spacing w:lineRule="auto" w:line="240" w:before="120" w:after="288"/>
        <w:ind w:firstLine="567"/>
        <w:rPr/>
      </w:pPr>
      <w:r>
        <w:rPr>
          <w:rFonts w:cs="Arial" w:ascii="Arial" w:hAnsi="Arial"/>
          <w:i/>
          <w:iCs/>
          <w:color w:val="FF0000"/>
          <w:sz w:val="20"/>
          <w:szCs w:val="20"/>
        </w:rPr>
        <w:t xml:space="preserve">2- </w:t>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alibri Light">
    <w:charset w:val="00"/>
    <w:family w:val="roman"/>
    <w:pitch w:val="variable"/>
  </w:font>
  <w:font w:name="Calibri Light">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61273244"/>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maio/2023</w:t>
        </w:r>
      </w:p>
      <w:p>
        <w:pPr>
          <w:pStyle w:val="Rodap"/>
          <w:rPr>
            <w:rFonts w:ascii="Arial" w:hAnsi="Arial" w:cs="Arial"/>
            <w:color w:val="0F243E" w:themeColor="text2" w:themeShade="80"/>
            <w:sz w:val="14"/>
            <w:szCs w:val="14"/>
          </w:rPr>
        </w:pPr>
        <w:r>
          <w:rPr>
            <w:rFonts w:cs="Arial" w:ascii="Arial" w:hAnsi="Arial"/>
            <w:sz w:val="14"/>
            <w:szCs w:val="14"/>
          </w:rPr>
          <w:t xml:space="preserve">Termo de contrato modelo para Pregão Eletrônico – Compras – Lei nº 14.133, de 2021. </w:t>
          <w:tab/>
          <w:tab/>
        </w:r>
      </w:p>
      <w:p>
        <w:pPr>
          <w:pStyle w:val="Rodap"/>
          <w:rPr>
            <w:rFonts w:ascii="Arial" w:hAnsi="Arial" w:cs="Arial"/>
            <w:sz w:val="14"/>
            <w:szCs w:val="14"/>
          </w:rPr>
        </w:pPr>
        <w:r>
          <w:rPr>
            <w:rFonts w:cs="Arial" w:ascii="Arial" w:hAnsi="Arial"/>
            <w:sz w:val="14"/>
            <w:szCs w:val="14"/>
          </w:rPr>
          <w:t>Aprovado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0"/>
        </w:tabs>
        <w:ind w:left="1436" w:hanging="360"/>
      </w:pPr>
      <w:rPr/>
    </w:lvl>
    <w:lvl w:ilvl="1">
      <w:start w:val="1"/>
      <w:numFmt w:val="lowerLetter"/>
      <w:lvlText w:val="%2."/>
      <w:lvlJc w:val="left"/>
      <w:pPr>
        <w:tabs>
          <w:tab w:val="num" w:pos="0"/>
        </w:tabs>
        <w:ind w:left="2156" w:hanging="360"/>
      </w:pPr>
      <w:rPr/>
    </w:lvl>
    <w:lvl w:ilvl="2">
      <w:start w:val="1"/>
      <w:numFmt w:val="lowerRoman"/>
      <w:lvlText w:val="%3."/>
      <w:lvlJc w:val="right"/>
      <w:pPr>
        <w:tabs>
          <w:tab w:val="num" w:pos="0"/>
        </w:tabs>
        <w:ind w:left="2876" w:hanging="180"/>
      </w:pPr>
      <w:rPr/>
    </w:lvl>
    <w:lvl w:ilvl="3">
      <w:start w:val="1"/>
      <w:numFmt w:val="decimal"/>
      <w:lvlText w:val="%4."/>
      <w:lvlJc w:val="left"/>
      <w:pPr>
        <w:tabs>
          <w:tab w:val="num" w:pos="0"/>
        </w:tabs>
        <w:ind w:left="3596" w:hanging="360"/>
      </w:pPr>
      <w:rPr/>
    </w:lvl>
    <w:lvl w:ilvl="4">
      <w:start w:val="1"/>
      <w:numFmt w:val="lowerLetter"/>
      <w:lvlText w:val="%5."/>
      <w:lvlJc w:val="left"/>
      <w:pPr>
        <w:tabs>
          <w:tab w:val="num" w:pos="0"/>
        </w:tabs>
        <w:ind w:left="4316" w:hanging="360"/>
      </w:pPr>
      <w:rPr/>
    </w:lvl>
    <w:lvl w:ilvl="5">
      <w:start w:val="1"/>
      <w:numFmt w:val="lowerRoman"/>
      <w:lvlText w:val="%6."/>
      <w:lvlJc w:val="right"/>
      <w:pPr>
        <w:tabs>
          <w:tab w:val="num" w:pos="0"/>
        </w:tabs>
        <w:ind w:left="5036" w:hanging="180"/>
      </w:pPr>
      <w:rPr/>
    </w:lvl>
    <w:lvl w:ilvl="6">
      <w:start w:val="1"/>
      <w:numFmt w:val="decimal"/>
      <w:lvlText w:val="%7."/>
      <w:lvlJc w:val="left"/>
      <w:pPr>
        <w:tabs>
          <w:tab w:val="num" w:pos="0"/>
        </w:tabs>
        <w:ind w:left="5756" w:hanging="360"/>
      </w:pPr>
      <w:rPr/>
    </w:lvl>
    <w:lvl w:ilvl="7">
      <w:start w:val="1"/>
      <w:numFmt w:val="lowerLetter"/>
      <w:lvlText w:val="%8."/>
      <w:lvlJc w:val="left"/>
      <w:pPr>
        <w:tabs>
          <w:tab w:val="num" w:pos="0"/>
        </w:tabs>
        <w:ind w:left="6476" w:hanging="360"/>
      </w:pPr>
      <w:rPr/>
    </w:lvl>
    <w:lvl w:ilvl="8">
      <w:start w:val="1"/>
      <w:numFmt w:val="lowerRoman"/>
      <w:lvlText w:val="%9."/>
      <w:lvlJc w:val="right"/>
      <w:pPr>
        <w:tabs>
          <w:tab w:val="num" w:pos="0"/>
        </w:tabs>
        <w:ind w:left="7196" w:hanging="180"/>
      </w:pPr>
      <w:rPr/>
    </w:lvl>
  </w:abstractNum>
  <w:abstractNum w:abstractNumId="4">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9"/>
      <w:numFmt w:val="decimal"/>
      <w:lvlText w:val="%1."/>
      <w:lvlJc w:val="left"/>
      <w:pPr>
        <w:tabs>
          <w:tab w:val="num" w:pos="0"/>
        </w:tabs>
        <w:ind w:left="360" w:hanging="360"/>
      </w:pPr>
      <w:r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lowerRoman"/>
      <w:lvlText w:val="%1."/>
      <w:lvlJc w:val="right"/>
      <w:pPr>
        <w:tabs>
          <w:tab w:val="num" w:pos="0"/>
        </w:tabs>
        <w:ind w:left="1287" w:hanging="360"/>
      </w:pPr>
      <w:rPr/>
    </w:lvl>
    <w:lvl w:ilvl="1">
      <w:start w:val="1"/>
      <w:numFmt w:val="decimal"/>
      <w:lvlText w:val="%2."/>
      <w:lvlJc w:val="left"/>
      <w:pPr>
        <w:tabs>
          <w:tab w:val="num" w:pos="0"/>
        </w:tabs>
        <w:ind w:left="2007" w:hanging="360"/>
      </w:pPr>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7"/>
    <w:lvlOverride w:ilvl="0">
      <w:startOverride w:val="1"/>
    </w:lvlOverride>
  </w:num>
  <w:num w:numId="119">
    <w:abstractNumId w:val="7"/>
  </w:num>
  <w:num w:numId="120">
    <w:abstractNumId w:val="7"/>
  </w:num>
  <w:num w:numId="121">
    <w:abstractNumId w:val="7"/>
  </w:num>
  <w:num w:numId="122">
    <w:abstractNumId w:val="7"/>
  </w:num>
  <w:num w:numId="123">
    <w:abstractNumId w:val="7"/>
  </w:num>
  <w:num w:numId="124">
    <w:abstractNumId w:val="7"/>
  </w:num>
  <w:num w:numId="125">
    <w:abstractNumId w:val="7"/>
  </w:num>
  <w:num w:numId="126">
    <w:abstractNumId w:val="7"/>
  </w:num>
  <w:num w:numId="127">
    <w:abstractNumId w:val="7"/>
  </w:num>
  <w:num w:numId="128">
    <w:abstractNumId w:val="7"/>
  </w:num>
  <w:num w:numId="129">
    <w:abstractNumId w:val="7"/>
  </w:num>
  <w:num w:numId="130">
    <w:abstractNumId w:val="7"/>
  </w:num>
  <w:num w:numId="131">
    <w:abstractNumId w:val="7"/>
  </w:num>
  <w:num w:numId="132">
    <w:abstractNumId w:val="7"/>
  </w:num>
  <w:num w:numId="133">
    <w:abstractNumId w:val="7"/>
  </w:num>
  <w:num w:numId="134">
    <w:abstractNumId w:val="7"/>
  </w:num>
  <w:num w:numId="135">
    <w:abstractNumId w:val="7"/>
  </w:num>
  <w:num w:numId="136">
    <w:abstractNumId w:val="7"/>
  </w:num>
  <w:num w:numId="137">
    <w:abstractNumId w:val="7"/>
  </w:num>
  <w:num w:numId="138">
    <w:abstractNumId w:val="7"/>
  </w:num>
  <w:num w:numId="139">
    <w:abstractNumId w:val="7"/>
  </w:num>
  <w:num w:numId="140">
    <w:abstractNumId w:val="7"/>
  </w:num>
  <w:num w:numId="141">
    <w:abstractNumId w:val="7"/>
  </w:num>
  <w:num w:numId="142">
    <w:abstractNumId w:val="7"/>
  </w:num>
  <w:num w:numId="143">
    <w:abstractNumId w:val="7"/>
  </w:num>
  <w:num w:numId="144">
    <w:abstractNumId w:val="7"/>
  </w:num>
  <w:num w:numId="145">
    <w:abstractNumId w:val="7"/>
  </w:num>
  <w:num w:numId="146">
    <w:abstractNumId w:val="7"/>
  </w:num>
  <w:num w:numId="147">
    <w:abstractNumId w:val="7"/>
  </w:num>
  <w:num w:numId="148">
    <w:abstractNumId w:val="7"/>
  </w:num>
  <w:num w:numId="149">
    <w:abstractNumId w:val="7"/>
  </w:num>
  <w:num w:numId="150">
    <w:abstractNumId w:val="7"/>
  </w:num>
  <w:num w:numId="151">
    <w:abstractNumId w:val="7"/>
  </w:num>
  <w:num w:numId="152">
    <w:abstractNumId w:val="7"/>
  </w:num>
  <w:num w:numId="153">
    <w:abstractNumId w:val="7"/>
  </w:num>
  <w:num w:numId="154">
    <w:abstractNumId w:val="7"/>
  </w:num>
  <w:num w:numId="155">
    <w:abstractNumId w:val="7"/>
  </w:num>
  <w:num w:numId="156">
    <w:abstractNumId w:val="7"/>
  </w:num>
  <w:num w:numId="157">
    <w:abstractNumId w:val="7"/>
  </w:num>
  <w:num w:numId="158">
    <w:abstractNumId w:val="7"/>
  </w:num>
  <w:num w:numId="159">
    <w:abstractNumId w:val="7"/>
  </w:num>
  <w:num w:numId="160">
    <w:abstractNumId w:val="7"/>
  </w:num>
  <w:num w:numId="161">
    <w:abstractNumId w:val="7"/>
  </w:num>
  <w:num w:numId="162">
    <w:abstractNumId w:val="7"/>
  </w:num>
  <w:num w:numId="163">
    <w:abstractNumId w:val="7"/>
  </w:num>
  <w:num w:numId="164">
    <w:abstractNumId w:val="7"/>
  </w:num>
  <w:num w:numId="165">
    <w:abstractNumId w:val="7"/>
  </w:num>
  <w:num w:numId="166">
    <w:abstractNumId w:val="7"/>
  </w:num>
  <w:num w:numId="167">
    <w:abstractNumId w:val="7"/>
  </w:num>
  <w:num w:numId="168">
    <w:abstractNumId w:val="7"/>
  </w:num>
  <w:num w:numId="169">
    <w:abstractNumId w:val="7"/>
  </w:num>
  <w:num w:numId="170">
    <w:abstractNumId w:val="7"/>
  </w:num>
  <w:num w:numId="171">
    <w:abstractNumId w:val="7"/>
  </w:num>
  <w:num w:numId="172">
    <w:abstractNumId w:val="7"/>
  </w:num>
  <w:num w:numId="173">
    <w:abstractNumId w:val="7"/>
  </w:num>
  <w:num w:numId="174">
    <w:abstractNumId w:val="7"/>
  </w:num>
  <w:num w:numId="175">
    <w:abstractNumId w:val="7"/>
  </w:num>
  <w:num w:numId="176">
    <w:abstractNumId w:val="7"/>
  </w:num>
  <w:num w:numId="177">
    <w:abstractNumId w:val="7"/>
  </w:num>
  <w:num w:numId="178">
    <w:abstractNumId w:val="7"/>
  </w:num>
  <w:num w:numId="179">
    <w:abstractNumId w:val="7"/>
  </w:num>
  <w:num w:numId="180">
    <w:abstractNumId w:val="7"/>
  </w:num>
  <w:num w:numId="181">
    <w:abstractNumId w:val="7"/>
  </w:num>
  <w:num w:numId="182">
    <w:abstractNumId w:val="7"/>
  </w:num>
  <w:num w:numId="183">
    <w:abstractNumId w:val="7"/>
  </w:num>
  <w:num w:numId="184">
    <w:abstractNumId w:val="7"/>
  </w:num>
  <w:num w:numId="185">
    <w:abstractNumId w:val="7"/>
  </w:num>
  <w:num w:numId="186">
    <w:abstractNumId w:val="7"/>
  </w:num>
  <w:num w:numId="187">
    <w:abstractNumId w:val="7"/>
  </w:num>
  <w:num w:numId="188">
    <w:abstractNumId w:val="7"/>
  </w:num>
  <w:num w:numId="189">
    <w:abstractNumId w:val="7"/>
  </w:num>
  <w:num w:numId="190">
    <w:abstractNumId w:val="7"/>
  </w:num>
  <w:num w:numId="191">
    <w:abstractNumId w:val="7"/>
  </w:num>
  <w:num w:numId="192">
    <w:abstractNumId w:val="7"/>
  </w:num>
  <w:num w:numId="193">
    <w:abstractNumId w:val="7"/>
  </w:num>
  <w:num w:numId="194">
    <w:abstractNumId w:val="7"/>
  </w:num>
  <w:num w:numId="195">
    <w:abstractNumId w:val="7"/>
  </w:num>
  <w:num w:numId="196">
    <w:abstractNumId w:val="7"/>
  </w:num>
  <w:num w:numId="197">
    <w:abstractNumId w:val="7"/>
  </w:num>
  <w:num w:numId="198">
    <w:abstractNumId w:val="7"/>
  </w:num>
  <w:num w:numId="199">
    <w:abstractNumId w:val="7"/>
  </w:num>
  <w:num w:numId="200">
    <w:abstractNumId w:val="7"/>
  </w:num>
  <w:num w:numId="201">
    <w:abstractNumId w:val="7"/>
  </w:num>
  <w:num w:numId="202">
    <w:abstractNumId w:val="7"/>
  </w:num>
  <w:num w:numId="203">
    <w:abstractNumId w:val="7"/>
  </w:num>
  <w:num w:numId="204">
    <w:abstractNumId w:val="7"/>
  </w:num>
  <w:num w:numId="205">
    <w:abstractNumId w:val="7"/>
  </w:num>
  <w:num w:numId="206">
    <w:abstractNumId w:val="7"/>
  </w:num>
  <w:num w:numId="207">
    <w:abstractNumId w:val="7"/>
  </w:num>
  <w:num w:numId="208">
    <w:abstractNumId w:val="7"/>
  </w:num>
  <w:num w:numId="209">
    <w:abstractNumId w:val="7"/>
  </w:num>
  <w:num w:numId="210">
    <w:abstractNumId w:val="7"/>
  </w:num>
  <w:num w:numId="211">
    <w:abstractNumId w:val="7"/>
  </w:num>
  <w:num w:numId="212">
    <w:abstractNumId w:val="7"/>
  </w:num>
  <w:num w:numId="213">
    <w:abstractNumId w:val="7"/>
  </w:num>
  <w:num w:numId="214">
    <w:abstractNumId w:val="7"/>
  </w:num>
  <w:num w:numId="215">
    <w:abstractNumId w:val="7"/>
  </w:num>
  <w:num w:numId="216">
    <w:abstractNumId w:val="7"/>
  </w:num>
  <w:num w:numId="217">
    <w:abstractNumId w:val="7"/>
  </w:num>
  <w:num w:numId="218">
    <w:abstractNumId w:val="7"/>
  </w:num>
  <w:num w:numId="219">
    <w:abstractNumId w:val="7"/>
  </w:num>
  <w:num w:numId="220">
    <w:abstractNumId w:val="7"/>
  </w:num>
  <w:num w:numId="221">
    <w:abstractNumId w:val="7"/>
  </w:num>
  <w:num w:numId="222">
    <w:abstractNumId w:val="7"/>
  </w:num>
  <w:num w:numId="223">
    <w:abstractNumId w:val="7"/>
  </w:num>
  <w:num w:numId="224">
    <w:abstractNumId w:val="7"/>
  </w:num>
  <w:num w:numId="225">
    <w:abstractNumId w:val="7"/>
  </w:num>
  <w:num w:numId="226">
    <w:abstractNumId w:val="7"/>
  </w:num>
  <w:num w:numId="227">
    <w:abstractNumId w:val="7"/>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Hyperlink"/>
    <w:basedOn w:val="DefaultParagraphFont"/>
    <w:uiPriority w:val="99"/>
    <w:unhideWhenUsed/>
    <w:rsid w:val="00dc41dd"/>
    <w:rPr>
      <w:color w:val="0000FF" w:themeColor="hyperlink"/>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Textbody1"/>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FollowedHyperlink"/>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Ncoradanotaderodap">
    <w:name w:val="Footnote Reference"/>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lang w:val="zxx" w:eastAsia="zxx" w:bidi="zxx"/>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numPr>
        <w:ilvl w:val="0"/>
        <w:numId w:val="1"/>
      </w:num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216690"/>
    <w:pPr>
      <w:numPr>
        <w:ilvl w:val="2"/>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val="false"/>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numPr>
        <w:ilvl w:val="0"/>
        <w:numId w:val="0"/>
      </w:numPr>
      <w:ind w:left="0" w:hanging="0"/>
      <w:outlineLvl w:val="1"/>
    </w:pPr>
    <w:rPr>
      <w:color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48</TotalTime>
  <Application>LibreOffice/7.4.0.3$Windows_X86_64 LibreOffice_project/f85e47c08ddd19c015c0114a68350214f7066f5a</Application>
  <AppVersion>15.0000</AppVersion>
  <Pages>8</Pages>
  <Words>3622</Words>
  <Characters>19998</Characters>
  <CharactersWithSpaces>23363</CharactersWithSpaces>
  <Paragraphs>169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cp:lastPrinted>2024-03-27T10:55:04Z</cp:lastPrinted>
  <dcterms:modified xsi:type="dcterms:W3CDTF">2024-05-09T17:18:57Z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